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6A" w:rsidRPr="00EB346A" w:rsidRDefault="00156B72" w:rsidP="00EB346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B346A">
        <w:rPr>
          <w:rFonts w:cs="Calibri"/>
          <w:b/>
          <w:bCs/>
        </w:rPr>
        <w:t>XUNTA DE GALICIA.  Vicepresidencia Segunda e Consellería de Economía, Empresa e Innovación</w:t>
      </w:r>
    </w:p>
    <w:p w:rsidR="0057136A" w:rsidRPr="00EB346A" w:rsidRDefault="00156B72" w:rsidP="00EB346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B346A">
        <w:rPr>
          <w:rFonts w:cs="Calibri"/>
          <w:b/>
          <w:bCs/>
        </w:rPr>
        <w:t>Dirección Xeral de Planificación Enerxética e Recursos Naturais</w:t>
      </w:r>
    </w:p>
    <w:p w:rsidR="0057136A" w:rsidRPr="00EB346A" w:rsidRDefault="00156B72" w:rsidP="00EB346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B346A">
        <w:rPr>
          <w:rFonts w:cs="Calibri"/>
          <w:b/>
          <w:bCs/>
        </w:rPr>
        <w:t>San Caetano s/n, 15781, Santiago de Compostela</w:t>
      </w:r>
    </w:p>
    <w:p w:rsidR="0057136A" w:rsidRDefault="0057136A">
      <w:pPr>
        <w:pStyle w:val="Standard"/>
        <w:spacing w:after="0" w:line="240" w:lineRule="auto"/>
        <w:rPr>
          <w:rFonts w:cs="Calibri"/>
          <w:b/>
          <w:bCs/>
          <w:sz w:val="16"/>
          <w:szCs w:val="16"/>
        </w:rPr>
      </w:pPr>
    </w:p>
    <w:p w:rsidR="00EB346A" w:rsidRPr="00EB346A" w:rsidRDefault="00EB346A">
      <w:pPr>
        <w:pStyle w:val="Standard"/>
        <w:spacing w:after="0" w:line="240" w:lineRule="auto"/>
        <w:rPr>
          <w:rFonts w:cs="Calibri"/>
          <w:b/>
          <w:bCs/>
        </w:rPr>
      </w:pPr>
      <w:r w:rsidRPr="00EB346A">
        <w:rPr>
          <w:rFonts w:cs="Calibri"/>
          <w:b/>
          <w:bCs/>
        </w:rPr>
        <w:t>Asunto:</w:t>
      </w:r>
    </w:p>
    <w:p w:rsidR="0057136A" w:rsidRPr="00EB346A" w:rsidRDefault="00156B72" w:rsidP="00EB346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EB346A">
        <w:rPr>
          <w:rFonts w:cs="Calibri"/>
          <w:b/>
          <w:bCs/>
        </w:rPr>
        <w:t xml:space="preserve">Alegacións á </w:t>
      </w:r>
      <w:r w:rsidRPr="00EB346A">
        <w:rPr>
          <w:b/>
          <w:bCs/>
        </w:rPr>
        <w:t xml:space="preserve">RESOLUCIÓN do </w:t>
      </w:r>
      <w:r w:rsidR="00EB346A">
        <w:rPr>
          <w:b/>
          <w:bCs/>
        </w:rPr>
        <w:t>08/03/2022</w:t>
      </w:r>
      <w:r w:rsidRPr="00EB346A">
        <w:rPr>
          <w:b/>
          <w:bCs/>
        </w:rPr>
        <w:t xml:space="preserve">, da Xefatura Territorial de Pontevedra, </w:t>
      </w:r>
      <w:r w:rsidR="00EB346A">
        <w:rPr>
          <w:b/>
          <w:bCs/>
        </w:rPr>
        <w:t xml:space="preserve">publicada no </w:t>
      </w:r>
      <w:r w:rsidR="00EB346A">
        <w:rPr>
          <w:rFonts w:cs="Calibri"/>
          <w:b/>
          <w:bCs/>
        </w:rPr>
        <w:t>DOG</w:t>
      </w:r>
      <w:r w:rsidR="00EB346A" w:rsidRPr="00EB346A">
        <w:rPr>
          <w:rFonts w:cs="Calibri"/>
          <w:b/>
          <w:bCs/>
        </w:rPr>
        <w:t xml:space="preserve"> do 06/04/2022</w:t>
      </w:r>
      <w:r w:rsidR="00EB346A">
        <w:rPr>
          <w:rFonts w:cs="Calibri"/>
          <w:b/>
          <w:bCs/>
        </w:rPr>
        <w:t xml:space="preserve"> </w:t>
      </w:r>
      <w:r w:rsidRPr="00EB346A">
        <w:rPr>
          <w:b/>
          <w:bCs/>
        </w:rPr>
        <w:t>pola</w:t>
      </w:r>
      <w:r w:rsidR="00830B34" w:rsidRPr="00EB346A">
        <w:rPr>
          <w:b/>
          <w:bCs/>
        </w:rPr>
        <w:t xml:space="preserve"> </w:t>
      </w:r>
      <w:r w:rsidR="00830B34" w:rsidRP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>pola que se somete a información pública o estudo de impacto ambiental e as solicitudes de autorización administrativa previa e de construción, o proxecto sectorial (proxecto de interese autonómico) e a solicitude de declaración de utilidade pública</w:t>
      </w:r>
      <w:r w:rsidR="00CE5415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 xml:space="preserve"> do PARQUE EÓLICO MERENDÓN</w:t>
      </w:r>
      <w:r w:rsidR="00830B34" w:rsidRP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>,</w:t>
      </w:r>
      <w:r w:rsid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 xml:space="preserve"> </w:t>
      </w:r>
      <w:r w:rsidR="00EB346A" w:rsidRP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>expediente IN661A 2011/19-4</w:t>
      </w:r>
      <w:r w:rsid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>,</w:t>
      </w:r>
      <w:r w:rsidR="00830B34" w:rsidRP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 xml:space="preserve"> situado nos concellos de Oia e O Rosal</w:t>
      </w:r>
      <w:r w:rsidR="00EB346A" w:rsidRP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 xml:space="preserve"> (</w:t>
      </w:r>
      <w:r w:rsidR="00830B34" w:rsidRP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>P</w:t>
      </w:r>
      <w:r w:rsid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>ontevedra</w:t>
      </w:r>
      <w:r w:rsidR="00EB346A" w:rsidRP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>)</w:t>
      </w:r>
    </w:p>
    <w:p w:rsidR="0057136A" w:rsidRPr="00166ED6" w:rsidRDefault="0057136A">
      <w:pPr>
        <w:pStyle w:val="Standard"/>
        <w:spacing w:after="0" w:line="240" w:lineRule="auto"/>
        <w:rPr>
          <w:rFonts w:cs="Calibri"/>
          <w:b/>
          <w:bCs/>
          <w:sz w:val="16"/>
          <w:szCs w:val="16"/>
        </w:rPr>
      </w:pPr>
    </w:p>
    <w:p w:rsidR="0057136A" w:rsidRDefault="00156B72">
      <w:pPr>
        <w:pStyle w:val="Standard"/>
        <w:spacing w:before="120" w:after="0" w:line="240" w:lineRule="auto"/>
      </w:pPr>
      <w:r>
        <w:rPr>
          <w:rFonts w:cs="Calibri"/>
          <w:sz w:val="20"/>
          <w:szCs w:val="20"/>
        </w:rPr>
        <w:t>D</w:t>
      </w:r>
      <w:r w:rsidR="00EB346A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D</w:t>
      </w:r>
      <w:r w:rsidR="00EB346A">
        <w:rPr>
          <w:rFonts w:cs="Calibri"/>
          <w:sz w:val="20"/>
          <w:szCs w:val="20"/>
        </w:rPr>
        <w:t>ª ______</w:t>
      </w:r>
      <w:r>
        <w:rPr>
          <w:rFonts w:cs="Calibri"/>
          <w:sz w:val="20"/>
          <w:szCs w:val="20"/>
        </w:rPr>
        <w:t>_________________________________</w:t>
      </w:r>
      <w:r w:rsidR="00CE5415">
        <w:rPr>
          <w:rFonts w:cs="Calibri"/>
          <w:sz w:val="20"/>
          <w:szCs w:val="20"/>
        </w:rPr>
        <w:t>_____</w:t>
      </w:r>
      <w:r>
        <w:rPr>
          <w:rFonts w:cs="Calibri"/>
          <w:sz w:val="20"/>
          <w:szCs w:val="20"/>
        </w:rPr>
        <w:t>_____________________ con DNI. Núm ______________________,</w:t>
      </w:r>
    </w:p>
    <w:p w:rsidR="0057136A" w:rsidRDefault="00EB346A">
      <w:pPr>
        <w:pStyle w:val="Standard"/>
        <w:spacing w:before="120" w:after="0" w:line="240" w:lineRule="auto"/>
      </w:pPr>
      <w:r>
        <w:rPr>
          <w:rFonts w:cs="Calibri"/>
          <w:sz w:val="20"/>
          <w:szCs w:val="20"/>
        </w:rPr>
        <w:t>con domicilio para</w:t>
      </w:r>
      <w:r w:rsidR="00156B72">
        <w:rPr>
          <w:rFonts w:cs="Calibri"/>
          <w:sz w:val="20"/>
          <w:szCs w:val="20"/>
        </w:rPr>
        <w:t xml:space="preserve"> notificacións en __</w:t>
      </w:r>
      <w:r>
        <w:rPr>
          <w:rFonts w:cs="Calibri"/>
          <w:sz w:val="20"/>
          <w:szCs w:val="20"/>
        </w:rPr>
        <w:t>_____</w:t>
      </w:r>
      <w:r w:rsidR="00156B72">
        <w:rPr>
          <w:rFonts w:cs="Calibri"/>
          <w:sz w:val="20"/>
          <w:szCs w:val="20"/>
        </w:rPr>
        <w:t>______________________________________________________</w:t>
      </w:r>
      <w:r w:rsidR="0045467C">
        <w:rPr>
          <w:rFonts w:cs="Calibri"/>
          <w:sz w:val="20"/>
          <w:szCs w:val="20"/>
        </w:rPr>
        <w:t>C.P._</w:t>
      </w:r>
      <w:bookmarkStart w:id="0" w:name="_GoBack"/>
      <w:bookmarkEnd w:id="0"/>
      <w:r w:rsidR="00156B72">
        <w:rPr>
          <w:rFonts w:cs="Calibri"/>
          <w:sz w:val="20"/>
          <w:szCs w:val="20"/>
        </w:rPr>
        <w:t>__________,</w:t>
      </w:r>
    </w:p>
    <w:p w:rsidR="0057136A" w:rsidRDefault="00156B72">
      <w:pPr>
        <w:pStyle w:val="Standard"/>
        <w:spacing w:before="120" w:after="0" w:line="240" w:lineRule="auto"/>
      </w:pPr>
      <w:r>
        <w:rPr>
          <w:rFonts w:cs="Calibri"/>
          <w:sz w:val="20"/>
          <w:szCs w:val="20"/>
        </w:rPr>
        <w:t>concello de ____________________________, provincia__________________________, teléfono ________________________,</w:t>
      </w:r>
    </w:p>
    <w:p w:rsidR="00166ED6" w:rsidRPr="00166ED6" w:rsidRDefault="00166ED6">
      <w:pPr>
        <w:pStyle w:val="Standard"/>
        <w:spacing w:before="120" w:after="0"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57136A" w:rsidRPr="00166ED6" w:rsidRDefault="006158A4">
      <w:pPr>
        <w:pStyle w:val="Standard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166ED6">
        <w:rPr>
          <w:rFonts w:asciiTheme="minorHAnsi" w:hAnsiTheme="minorHAnsi" w:cstheme="minorHAnsi"/>
          <w:b/>
          <w:bCs/>
        </w:rPr>
        <w:t>EXPOÑO</w:t>
      </w:r>
      <w:r w:rsidR="00156B72" w:rsidRPr="00166ED6">
        <w:rPr>
          <w:rFonts w:asciiTheme="minorHAnsi" w:hAnsiTheme="minorHAnsi" w:cstheme="minorHAnsi"/>
          <w:b/>
          <w:bCs/>
        </w:rPr>
        <w:t>:</w:t>
      </w:r>
    </w:p>
    <w:p w:rsidR="00096FBD" w:rsidRPr="00096FBD" w:rsidRDefault="00096FBD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rFonts w:ascii="Calibri" w:hAnsi="Calibri" w:cs="Calibri"/>
          <w:sz w:val="22"/>
          <w:szCs w:val="22"/>
        </w:rPr>
      </w:pPr>
      <w:r w:rsidRPr="00166ED6">
        <w:rPr>
          <w:rFonts w:ascii="Calibri" w:hAnsi="Calibri" w:cs="Calibri"/>
          <w:b/>
          <w:sz w:val="22"/>
          <w:szCs w:val="22"/>
        </w:rPr>
        <w:t xml:space="preserve">ALEGACIÓN 1. </w:t>
      </w:r>
      <w:r w:rsidR="00CE5415">
        <w:rPr>
          <w:rFonts w:ascii="Calibri" w:hAnsi="Calibri" w:cs="Calibri"/>
          <w:sz w:val="22"/>
          <w:szCs w:val="22"/>
        </w:rPr>
        <w:t xml:space="preserve">Este </w:t>
      </w:r>
      <w:r w:rsidRPr="00096FBD">
        <w:rPr>
          <w:rFonts w:ascii="Calibri" w:hAnsi="Calibri" w:cs="Calibri"/>
          <w:sz w:val="22"/>
          <w:szCs w:val="22"/>
        </w:rPr>
        <w:t>mesmo expediente (IN661A 2011/19-4) foi publlicado no DOG 23/12/2021 e se publica de novo (DOG 06/04/2022)</w:t>
      </w:r>
      <w:r w:rsidR="00CE5415">
        <w:rPr>
          <w:rFonts w:ascii="Calibri" w:hAnsi="Calibri" w:cs="Calibri"/>
          <w:sz w:val="22"/>
          <w:szCs w:val="22"/>
        </w:rPr>
        <w:t>. D</w:t>
      </w:r>
      <w:r w:rsidRPr="00096FBD">
        <w:rPr>
          <w:rFonts w:ascii="Calibri" w:hAnsi="Calibri" w:cs="Calibri"/>
          <w:sz w:val="22"/>
          <w:szCs w:val="22"/>
        </w:rPr>
        <w:t>eben incorporarse agora TODAS AS ALEGACIÓNS presentadas no seu momento.</w:t>
      </w:r>
    </w:p>
    <w:p w:rsidR="00096FBD" w:rsidRPr="00096FBD" w:rsidRDefault="00096FBD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rFonts w:ascii="Calibri" w:hAnsi="Calibri" w:cs="Calibri"/>
          <w:sz w:val="22"/>
          <w:szCs w:val="22"/>
        </w:rPr>
      </w:pPr>
      <w:r w:rsidRPr="00166ED6">
        <w:rPr>
          <w:rFonts w:ascii="Calibri" w:hAnsi="Calibri" w:cs="Calibri"/>
          <w:b/>
          <w:sz w:val="22"/>
          <w:szCs w:val="22"/>
        </w:rPr>
        <w:t xml:space="preserve">ALEGACIÓN 2. </w:t>
      </w:r>
      <w:r w:rsidRPr="00096FBD">
        <w:rPr>
          <w:rFonts w:ascii="Calibri" w:hAnsi="Calibri" w:cs="Calibri"/>
          <w:sz w:val="22"/>
          <w:szCs w:val="22"/>
        </w:rPr>
        <w:t>Falla de xustificación da necesidade  do  despregamento  eólico, actual e previsto.</w:t>
      </w:r>
    </w:p>
    <w:p w:rsidR="00166ED6" w:rsidRPr="006158A4" w:rsidRDefault="00156B72" w:rsidP="00EB346A">
      <w:pPr>
        <w:pStyle w:val="Standard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</w:pPr>
      <w:r w:rsidRPr="006158A4">
        <w:rPr>
          <w:rFonts w:cs="Calibri"/>
          <w:b/>
        </w:rPr>
        <w:t xml:space="preserve">ALEGACIÓN 3. </w:t>
      </w:r>
      <w:r w:rsidR="00166ED6" w:rsidRPr="006158A4">
        <w:t>O PLAN Sectorial Eólico Galego  carece de Estudo de Impacto Ambiental.</w:t>
      </w:r>
    </w:p>
    <w:p w:rsidR="00166ED6" w:rsidRPr="006158A4" w:rsidRDefault="008311C4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rFonts w:ascii="Calibri" w:hAnsi="Calibri" w:cs="F"/>
          <w:color w:val="00000A"/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4. </w:t>
      </w:r>
      <w:r w:rsidR="00166ED6" w:rsidRPr="006158A4">
        <w:rPr>
          <w:rFonts w:ascii="Calibri" w:hAnsi="Calibri" w:cs="F"/>
          <w:color w:val="00000A"/>
          <w:sz w:val="22"/>
          <w:szCs w:val="22"/>
        </w:rPr>
        <w:t>Falla  da preceptiva publicación do anuncio de exposición a información pública do proxecto no BOE segundo o artigo 125 do RD 1955/2000.</w:t>
      </w:r>
    </w:p>
    <w:p w:rsidR="00166ED6" w:rsidRPr="006158A4" w:rsidRDefault="00A01E26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color w:val="000000" w:themeColor="text1"/>
          <w:sz w:val="22"/>
          <w:szCs w:val="22"/>
        </w:rPr>
        <w:t xml:space="preserve">ALEGACIÓN 5. </w:t>
      </w:r>
      <w:r w:rsidR="00166ED6" w:rsidRPr="006158A4">
        <w:rPr>
          <w:rFonts w:ascii="Calibri" w:hAnsi="Calibri" w:cs="Calibri"/>
          <w:sz w:val="22"/>
          <w:szCs w:val="22"/>
        </w:rPr>
        <w:t>Non consta estudio do grao de aceptación do proxecto polos concellos afectados e pola poboación.</w:t>
      </w:r>
    </w:p>
    <w:p w:rsidR="00166ED6" w:rsidRPr="006158A4" w:rsidRDefault="00156B72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color w:val="000000" w:themeColor="text1"/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6. </w:t>
      </w:r>
      <w:r w:rsidR="00166ED6" w:rsidRPr="006158A4">
        <w:rPr>
          <w:rFonts w:ascii="Calibri" w:hAnsi="Calibri" w:cs="Calibri"/>
          <w:color w:val="000000" w:themeColor="text1"/>
          <w:sz w:val="22"/>
          <w:szCs w:val="22"/>
        </w:rPr>
        <w:t>O intento de utilización da Lei 9/2021 para deslexitimizar a lexislación medioambiental é ilegal</w:t>
      </w:r>
    </w:p>
    <w:p w:rsidR="00166ED6" w:rsidRPr="006158A4" w:rsidRDefault="00156B72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>ALEGACIÓN 7.</w:t>
      </w:r>
      <w:r w:rsidR="006158A4" w:rsidRPr="006158A4">
        <w:rPr>
          <w:rFonts w:ascii="Calibri" w:hAnsi="Calibri" w:cs="Calibri"/>
          <w:b/>
          <w:sz w:val="22"/>
          <w:szCs w:val="22"/>
        </w:rPr>
        <w:t xml:space="preserve"> </w:t>
      </w:r>
      <w:r w:rsidR="00166ED6" w:rsidRPr="006158A4">
        <w:rPr>
          <w:rFonts w:ascii="Calibri" w:hAnsi="Calibri" w:cs="F"/>
          <w:color w:val="00000A"/>
          <w:sz w:val="22"/>
          <w:szCs w:val="22"/>
        </w:rPr>
        <w:t>Non consta estudo de impacto ambiental das alternativas propostas, só da alternativa escollida.</w:t>
      </w:r>
    </w:p>
    <w:p w:rsidR="0057136A" w:rsidRPr="006158A4" w:rsidRDefault="00156B72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>ALEGACIÓN 8.</w:t>
      </w:r>
      <w:r w:rsidR="006158A4" w:rsidRPr="006158A4">
        <w:rPr>
          <w:rFonts w:ascii="Calibri" w:hAnsi="Calibri" w:cs="Calibri"/>
          <w:b/>
          <w:sz w:val="22"/>
          <w:szCs w:val="22"/>
        </w:rPr>
        <w:t xml:space="preserve"> </w:t>
      </w:r>
      <w:r w:rsidR="009C3237" w:rsidRPr="006158A4">
        <w:rPr>
          <w:rFonts w:ascii="Calibri" w:hAnsi="Calibri" w:cs="Calibri"/>
          <w:sz w:val="22"/>
          <w:szCs w:val="22"/>
        </w:rPr>
        <w:t>Nin o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 Promotor (Tiraventos, S.L.) n</w:t>
      </w:r>
      <w:r w:rsidR="009C3237" w:rsidRPr="006158A4">
        <w:rPr>
          <w:rFonts w:ascii="Calibri" w:hAnsi="Calibri" w:cs="F"/>
          <w:color w:val="00000A"/>
          <w:sz w:val="22"/>
          <w:szCs w:val="22"/>
        </w:rPr>
        <w:t>i</w:t>
      </w:r>
      <w:r w:rsidRPr="006158A4">
        <w:rPr>
          <w:rFonts w:ascii="Calibri" w:hAnsi="Calibri" w:cs="F"/>
          <w:color w:val="00000A"/>
          <w:sz w:val="22"/>
          <w:szCs w:val="22"/>
        </w:rPr>
        <w:t>n</w:t>
      </w:r>
      <w:r w:rsidR="009C3237" w:rsidRPr="006158A4">
        <w:rPr>
          <w:rFonts w:ascii="Calibri" w:hAnsi="Calibri" w:cs="F"/>
          <w:color w:val="00000A"/>
          <w:sz w:val="22"/>
          <w:szCs w:val="22"/>
        </w:rPr>
        <w:t xml:space="preserve"> a Xunta de Galicia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 xustifica</w:t>
      </w:r>
      <w:r w:rsidR="009C3237" w:rsidRPr="006158A4">
        <w:rPr>
          <w:rFonts w:ascii="Calibri" w:hAnsi="Calibri" w:cs="F"/>
          <w:color w:val="00000A"/>
          <w:sz w:val="22"/>
          <w:szCs w:val="22"/>
        </w:rPr>
        <w:t>n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 a declaración de interese autonómico do proxecto eólico, nin a declaración de tramitación de urxencia do proxecto nin a declaración do proxecto como iniciativa empresarial prioritaria.</w:t>
      </w:r>
    </w:p>
    <w:p w:rsidR="00A01E26" w:rsidRPr="006158A4" w:rsidRDefault="00A01E26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color w:val="FF0000"/>
          <w:sz w:val="22"/>
          <w:szCs w:val="22"/>
        </w:rPr>
      </w:pPr>
      <w:r w:rsidRPr="006158A4">
        <w:rPr>
          <w:rFonts w:ascii="Calibri" w:hAnsi="Calibri" w:cs="Calibri"/>
          <w:b/>
          <w:color w:val="000000" w:themeColor="text1"/>
          <w:sz w:val="22"/>
          <w:szCs w:val="22"/>
        </w:rPr>
        <w:t>ALEGACIÓN 9.</w:t>
      </w:r>
      <w:r w:rsidRPr="006158A4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Pr="006158A4">
        <w:rPr>
          <w:rFonts w:ascii="Calibri" w:hAnsi="Calibri" w:cs="Calibri"/>
          <w:color w:val="000000" w:themeColor="text1"/>
          <w:sz w:val="22"/>
          <w:szCs w:val="22"/>
        </w:rPr>
        <w:t xml:space="preserve">O estudo de alternativas non é válido. A Alternativa 1 é inviable. </w:t>
      </w:r>
    </w:p>
    <w:p w:rsidR="00A01E26" w:rsidRPr="006158A4" w:rsidRDefault="00A01E26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color w:val="000000" w:themeColor="text1"/>
          <w:sz w:val="22"/>
          <w:szCs w:val="22"/>
        </w:rPr>
      </w:pPr>
      <w:r w:rsidRPr="006158A4">
        <w:rPr>
          <w:rFonts w:ascii="Calibri" w:hAnsi="Calibri" w:cs="Calibri"/>
          <w:b/>
          <w:color w:val="000000" w:themeColor="text1"/>
          <w:sz w:val="22"/>
          <w:szCs w:val="22"/>
        </w:rPr>
        <w:t xml:space="preserve">ALEGACIÓN 10. </w:t>
      </w:r>
      <w:r w:rsidRPr="006158A4">
        <w:rPr>
          <w:rFonts w:ascii="Calibri" w:hAnsi="Calibri" w:cs="Calibri"/>
          <w:color w:val="000000" w:themeColor="text1"/>
          <w:sz w:val="22"/>
          <w:szCs w:val="22"/>
        </w:rPr>
        <w:t>O artigo 59 da Lei 7/2012, de 28 de xuño, de montes de Galicia prohíbe o cambio de uso forestal dos terreos queimados, por 30 anos. A zona ardeu no ano 2013.</w:t>
      </w:r>
    </w:p>
    <w:p w:rsidR="0057136A" w:rsidRPr="006158A4" w:rsidRDefault="00156B72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11. </w:t>
      </w:r>
      <w:r w:rsidRPr="006158A4">
        <w:rPr>
          <w:rFonts w:ascii="Calibri" w:hAnsi="Calibri" w:cs="F"/>
          <w:color w:val="00000A"/>
          <w:sz w:val="22"/>
          <w:szCs w:val="22"/>
        </w:rPr>
        <w:t>Existe superposición de poligonais entre os PEs Merendón e Rosal.</w:t>
      </w:r>
    </w:p>
    <w:p w:rsidR="0057136A" w:rsidRPr="006158A4" w:rsidRDefault="00156B72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12. </w:t>
      </w:r>
      <w:r w:rsidRPr="006158A4">
        <w:rPr>
          <w:rFonts w:ascii="Calibri" w:hAnsi="Calibri" w:cs="F"/>
          <w:color w:val="00000A"/>
          <w:sz w:val="22"/>
          <w:szCs w:val="22"/>
        </w:rPr>
        <w:t>Existe solapamento de aeroxeradores do PE Merendón e o PE Rosal.</w:t>
      </w:r>
    </w:p>
    <w:p w:rsidR="0057136A" w:rsidRPr="006158A4" w:rsidRDefault="00156B72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13. </w:t>
      </w:r>
      <w:r w:rsidRPr="006158A4">
        <w:rPr>
          <w:rFonts w:ascii="Calibri" w:hAnsi="Calibri" w:cs="F"/>
          <w:color w:val="00000A"/>
          <w:sz w:val="22"/>
          <w:szCs w:val="22"/>
        </w:rPr>
        <w:t>Fragmentación fraudulenta de PEs. Os PEs Merendón e Rosal  comparten estruturas polo que deben ser considerados proxecto único.</w:t>
      </w:r>
    </w:p>
    <w:p w:rsidR="0057136A" w:rsidRPr="006158A4" w:rsidRDefault="00156B72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14. </w:t>
      </w:r>
      <w:bookmarkStart w:id="1" w:name="_Hlk87742001"/>
      <w:r w:rsidRPr="006158A4">
        <w:rPr>
          <w:rFonts w:ascii="Calibri" w:hAnsi="Calibri" w:cs="Calibri"/>
          <w:sz w:val="22"/>
          <w:szCs w:val="22"/>
        </w:rPr>
        <w:t>Vulneración dos artigos 2 e 6 da Directiva 92/43/CEE relativa á Conservación de Hábitats Naturais e da Fauna e Flora Silvestres, actualizada a través da Directiva 97/62/CEE</w:t>
      </w:r>
      <w:bookmarkEnd w:id="1"/>
      <w:r w:rsidRPr="006158A4">
        <w:rPr>
          <w:rFonts w:ascii="Calibri" w:hAnsi="Calibri" w:cs="Calibri"/>
          <w:sz w:val="22"/>
          <w:szCs w:val="22"/>
        </w:rPr>
        <w:t>.</w:t>
      </w:r>
    </w:p>
    <w:p w:rsidR="0057136A" w:rsidRPr="006158A4" w:rsidRDefault="00156B72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15. 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Deficiente avaliación da afección a hábitats e especies de interese  comunitario consonte á Directiva 92/43/CEE, relativa á Conservación de Hábitats Naturais e da Fauna e Flora Silvestres, </w:t>
      </w:r>
      <w:r w:rsidRPr="006158A4">
        <w:rPr>
          <w:rFonts w:ascii="Calibri" w:hAnsi="Calibri" w:cs="Calibri"/>
          <w:sz w:val="22"/>
          <w:szCs w:val="22"/>
        </w:rPr>
        <w:t>actualizada a través da Directiva 97/62/CEE.</w:t>
      </w:r>
    </w:p>
    <w:p w:rsidR="0057136A" w:rsidRPr="006158A4" w:rsidRDefault="00156B72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>ALEGACIÓN 16.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 Non se avalían os efectos sobre a superficie de ampliación da RN2000 proposta no ano 2011 (ES1140018).</w:t>
      </w:r>
    </w:p>
    <w:p w:rsidR="0057136A" w:rsidRPr="006158A4" w:rsidRDefault="00156B72" w:rsidP="00EB346A">
      <w:pPr>
        <w:pStyle w:val="Standard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 w:line="240" w:lineRule="auto"/>
        <w:ind w:left="1418" w:hanging="1418"/>
        <w:jc w:val="both"/>
      </w:pPr>
      <w:r w:rsidRPr="006158A4">
        <w:rPr>
          <w:rFonts w:cs="Calibri"/>
          <w:b/>
          <w:color w:val="000000"/>
        </w:rPr>
        <w:t xml:space="preserve">ALEGACIÓN 17. </w:t>
      </w:r>
      <w:r w:rsidRPr="006158A4">
        <w:t>Deficiente avaliación da afección a especies inclu</w:t>
      </w:r>
      <w:r w:rsidR="006158A4" w:rsidRPr="006158A4">
        <w:t>í</w:t>
      </w:r>
      <w:r w:rsidRPr="006158A4">
        <w:t>das no Decreto 88/2007, do 19 de abril, polo que se regula o Catálogo Galego de Especies Ameazadas.</w:t>
      </w:r>
    </w:p>
    <w:p w:rsidR="0057136A" w:rsidRPr="006158A4" w:rsidRDefault="00156B72" w:rsidP="00EB346A">
      <w:pPr>
        <w:pStyle w:val="Standard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 w:line="240" w:lineRule="auto"/>
        <w:ind w:left="1418" w:hanging="1418"/>
        <w:jc w:val="both"/>
      </w:pPr>
      <w:r w:rsidRPr="006158A4">
        <w:rPr>
          <w:rFonts w:cs="Calibri"/>
          <w:b/>
          <w:color w:val="000000"/>
        </w:rPr>
        <w:t>ALEGACIÓN 18.</w:t>
      </w:r>
      <w:r w:rsidRPr="006158A4">
        <w:rPr>
          <w:b/>
          <w:bCs/>
        </w:rPr>
        <w:t xml:space="preserve"> </w:t>
      </w:r>
      <w:r w:rsidRPr="006158A4">
        <w:rPr>
          <w:rFonts w:cs="Calibri"/>
        </w:rPr>
        <w:t>Non se inclúe no EsIA a avaliación de efectos sobre a ZEPA “Espazo Mariño das Rías Baixas” (ES0000499) nin sobre a ZEC da Ramallosa (ES1140003).</w:t>
      </w:r>
    </w:p>
    <w:p w:rsidR="0057136A" w:rsidRPr="006158A4" w:rsidRDefault="00156B72" w:rsidP="00CE5415">
      <w:pPr>
        <w:pStyle w:val="Standard"/>
        <w:pBdr>
          <w:left w:val="single" w:sz="4" w:space="4" w:color="auto"/>
          <w:right w:val="single" w:sz="4" w:space="4" w:color="auto"/>
        </w:pBdr>
        <w:spacing w:before="120" w:line="240" w:lineRule="auto"/>
        <w:ind w:left="1418" w:hanging="1418"/>
        <w:jc w:val="both"/>
      </w:pPr>
      <w:r w:rsidRPr="006158A4">
        <w:rPr>
          <w:rFonts w:cs="Calibri"/>
          <w:b/>
          <w:color w:val="000000"/>
        </w:rPr>
        <w:t>ALEGACIÓN 19.</w:t>
      </w:r>
      <w:r w:rsidRPr="006158A4">
        <w:rPr>
          <w:b/>
          <w:bCs/>
        </w:rPr>
        <w:t xml:space="preserve"> </w:t>
      </w:r>
      <w:r w:rsidRPr="006158A4">
        <w:t>Vulneración do artigo 3 da Ley 42/2007 del patrimonio Natural y de la Biodiversidad</w:t>
      </w:r>
      <w:r w:rsidRPr="006158A4">
        <w:rPr>
          <w:b/>
          <w:bCs/>
        </w:rPr>
        <w:t>e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1418" w:hanging="1418"/>
        <w:jc w:val="both"/>
      </w:pPr>
      <w:r>
        <w:rPr>
          <w:rFonts w:cs="Calibri"/>
          <w:b/>
          <w:color w:val="000000"/>
        </w:rPr>
        <w:lastRenderedPageBreak/>
        <w:t>ALEGACIÓN 20.</w:t>
      </w:r>
      <w:r>
        <w:rPr>
          <w:b/>
          <w:bCs/>
        </w:rPr>
        <w:t xml:space="preserve"> </w:t>
      </w:r>
      <w:r>
        <w:t>Deficiente avaliación sobre os efectos á fauna e á flora.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rPr>
          <w:b/>
          <w:bCs/>
        </w:rPr>
        <w:t xml:space="preserve">ALEGACIÓN 21.- </w:t>
      </w:r>
      <w:r>
        <w:t>Deficiente avaliación dos efectos sobre os recursos hídricos.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bookmarkStart w:id="2" w:name="_Hlk86491238"/>
      <w:r>
        <w:rPr>
          <w:b/>
          <w:bCs/>
        </w:rPr>
        <w:t xml:space="preserve">ALEGACIÓN 22.- </w:t>
      </w:r>
      <w:r>
        <w:t>Deficiente avaliación sobre os efectos ocasionados  polo efecto de parpadeo.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rPr>
          <w:b/>
          <w:bCs/>
        </w:rPr>
        <w:t xml:space="preserve">ALEGACIÓN 23.- </w:t>
      </w:r>
      <w:r>
        <w:t>Deficiente avaliación sobre os efectos do ruído.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rPr>
          <w:b/>
          <w:bCs/>
        </w:rPr>
        <w:t xml:space="preserve">ALEGACIÓN 24.- </w:t>
      </w:r>
      <w:r>
        <w:t>Deficiente avaliación sobre os efectos das radiacións electromagnéticas de baixa frecuencia.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bookmarkStart w:id="3" w:name="_Hlk86487007"/>
      <w:r>
        <w:rPr>
          <w:b/>
          <w:bCs/>
        </w:rPr>
        <w:t xml:space="preserve">ALEGACIÓN 25.- </w:t>
      </w:r>
      <w:r>
        <w:t xml:space="preserve">Vulneración das determinacións  do planeamento urbanístico municipal  dos concellos de </w:t>
      </w:r>
      <w:bookmarkEnd w:id="3"/>
      <w:r>
        <w:t>Oia e O Rosal.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26.- </w:t>
      </w:r>
      <w:r>
        <w:t>Deficiente avaliación dos efectos derivados dos procesos de xestión de residuos, restauración e revexetación.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27.- </w:t>
      </w:r>
      <w:r>
        <w:t>Inadecuada temporalización dos traballos.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28.- </w:t>
      </w:r>
      <w:r>
        <w:t>Deficiente avaliación dos efectos derivados da  fase de desmantelamento.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rPr>
          <w:b/>
          <w:bCs/>
        </w:rPr>
        <w:t xml:space="preserve">ALEGACIÓN 29.- </w:t>
      </w:r>
      <w:r>
        <w:t>Afección sobre a calidade paisaxística e sobre o tecido socieconómico, en especial sobre o turismo.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rPr>
          <w:b/>
          <w:bCs/>
        </w:rPr>
        <w:t xml:space="preserve">ALEGACION 30.- </w:t>
      </w:r>
      <w:r>
        <w:t>Deficiente avaliación dos efectos ambientais sinérxicos e acumulativos.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rPr>
          <w:b/>
          <w:bCs/>
        </w:rPr>
        <w:t xml:space="preserve">ALEGACION 31.- </w:t>
      </w:r>
      <w:r>
        <w:t>Non se inclúe unha adecuada avaliación do recurso eólico.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32. </w:t>
      </w:r>
      <w:r>
        <w:t>No informe de impacto arqueolóxico non se contempla a totalidade do do patrimonio  afectado.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rPr>
          <w:b/>
          <w:bCs/>
        </w:rPr>
        <w:t xml:space="preserve">ALEGACIÓN 33. </w:t>
      </w:r>
      <w:bookmarkEnd w:id="2"/>
      <w:r>
        <w:t>Non se contemplan nin se avalían  os efectos sobre  o patrominio etnográfico.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rPr>
          <w:b/>
          <w:bCs/>
        </w:rPr>
        <w:t xml:space="preserve">ALEGACIÓN 34. </w:t>
      </w:r>
      <w:r>
        <w:t>Non se avalían os efectos sobre a modificación das áreas  territoriais  dos garranos.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rPr>
          <w:b/>
          <w:bCs/>
        </w:rPr>
        <w:t xml:space="preserve">ALEGACIÓN 35. </w:t>
      </w:r>
      <w:r>
        <w:t>Non se avalían os efecto</w:t>
      </w:r>
      <w:r w:rsidR="006158A4">
        <w:t>s sobre o patrimonio inmaterial nin sobre o Camiño de Santiago.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36. </w:t>
      </w:r>
      <w:r>
        <w:t>Vulnéranse as Directrices da Paisaxe e non se avalían os efectos sobre os Bens do Patr</w:t>
      </w:r>
      <w:r w:rsidR="006158A4">
        <w:t>imonio Inmaterial da Humanidade nin sobre o Camiño de Santiago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37. </w:t>
      </w:r>
      <w:r>
        <w:t>Non se avalía a aceptación da poboación ó parque eólico, que foi ampliamente rexeitado polos plenos de todos os concellos afectados e pola  sociedade  en xeral.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38. </w:t>
      </w:r>
      <w:r>
        <w:t>O PE MERENDÓN non é compatible co Informe Sectorial do Instituto de Estudos do Territorio (IET)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39. </w:t>
      </w:r>
      <w:r>
        <w:t>O PE MERENDÓN non é compatible  co Informe do Consello da Cultura Galega  (CCG)sobre enerxía eólica e paisaxes  culturais  en Galicia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r>
        <w:rPr>
          <w:b/>
          <w:bCs/>
        </w:rPr>
        <w:t xml:space="preserve">ALEGACIÓN 40. </w:t>
      </w:r>
      <w:r>
        <w:t>O Conxunto Serra da Groba, A Valga e  Costa de Oia  xunto co Galiñeiro-Monte Aloia deben ser considerados  ”Zonas de exclusión eólica” (OEGA, 2021)</w:t>
      </w:r>
    </w:p>
    <w:p w:rsidR="0057136A" w:rsidRPr="00CE5415" w:rsidRDefault="0057136A">
      <w:pPr>
        <w:pStyle w:val="Standard"/>
        <w:spacing w:before="120" w:after="0" w:line="240" w:lineRule="auto"/>
        <w:ind w:left="1418" w:hanging="1418"/>
        <w:jc w:val="both"/>
        <w:rPr>
          <w:sz w:val="4"/>
          <w:szCs w:val="4"/>
        </w:rPr>
      </w:pPr>
    </w:p>
    <w:p w:rsidR="00EB346A" w:rsidRDefault="00156B72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Por todo o anteriormente exposto</w:t>
      </w:r>
      <w:r w:rsidR="00EB346A">
        <w:rPr>
          <w:rFonts w:cs="Calibri"/>
        </w:rPr>
        <w:t xml:space="preserve"> </w:t>
      </w:r>
      <w:r w:rsidRPr="006158A4">
        <w:rPr>
          <w:rFonts w:cs="Calibri"/>
          <w:b/>
          <w:bCs/>
          <w:sz w:val="24"/>
          <w:szCs w:val="24"/>
        </w:rPr>
        <w:t>SOLICITO</w:t>
      </w:r>
      <w:r w:rsidR="006158A4">
        <w:rPr>
          <w:rFonts w:cs="Calibri"/>
        </w:rPr>
        <w:t>:</w:t>
      </w:r>
    </w:p>
    <w:p w:rsidR="00EB346A" w:rsidRPr="00EB346A" w:rsidRDefault="00EB346A">
      <w:pPr>
        <w:pStyle w:val="Standard"/>
        <w:spacing w:after="0" w:line="240" w:lineRule="auto"/>
        <w:jc w:val="both"/>
        <w:rPr>
          <w:rFonts w:cs="Calibri"/>
          <w:sz w:val="16"/>
          <w:szCs w:val="16"/>
        </w:rPr>
      </w:pPr>
    </w:p>
    <w:p w:rsidR="0057136A" w:rsidRPr="00CE5415" w:rsidRDefault="006158A4" w:rsidP="00EB346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</w:rPr>
      </w:pPr>
      <w:r w:rsidRPr="00CE5415">
        <w:rPr>
          <w:rFonts w:cs="Calibri"/>
        </w:rPr>
        <w:t>Q</w:t>
      </w:r>
      <w:r w:rsidR="00156B72" w:rsidRPr="00CE5415">
        <w:rPr>
          <w:rFonts w:cs="Calibri"/>
        </w:rPr>
        <w:t>ue teña por presentado este escrito e por formuladas as alegacións que contén, que se presentan en tempo e forma, que sexan estimadas as mesmas e que en consecuencia se desestime  a solicitude de autorización administrativa previa e de construcción e aprobación  do proxecto e declaración de utilidade pública do proxecto do parque eólico “MERENDÓN” e, téndome por parte interesada, déseme  traslado  da resolución que recaia no presente procedemento administrativo.</w:t>
      </w:r>
    </w:p>
    <w:p w:rsidR="006158A4" w:rsidRPr="00CE5415" w:rsidRDefault="006158A4">
      <w:pPr>
        <w:pStyle w:val="Standard"/>
        <w:spacing w:after="0" w:line="240" w:lineRule="auto"/>
        <w:jc w:val="both"/>
        <w:rPr>
          <w:sz w:val="4"/>
          <w:szCs w:val="4"/>
        </w:rPr>
      </w:pPr>
    </w:p>
    <w:p w:rsidR="00EB346A" w:rsidRDefault="00156B72">
      <w:pPr>
        <w:pStyle w:val="Standard"/>
        <w:spacing w:before="120" w:after="0" w:line="240" w:lineRule="auto"/>
        <w:rPr>
          <w:rFonts w:cs="Calibri"/>
          <w:b/>
          <w:bCs/>
          <w:sz w:val="24"/>
          <w:szCs w:val="24"/>
        </w:rPr>
      </w:pPr>
      <w:r w:rsidRPr="006158A4">
        <w:rPr>
          <w:rFonts w:cs="Calibri"/>
          <w:b/>
          <w:bCs/>
          <w:sz w:val="24"/>
          <w:szCs w:val="24"/>
        </w:rPr>
        <w:t>OUTROSÍ DÍGO:</w:t>
      </w:r>
    </w:p>
    <w:p w:rsidR="0057136A" w:rsidRPr="00CE5415" w:rsidRDefault="00156B72" w:rsidP="00EB346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CE5415">
        <w:rPr>
          <w:rFonts w:cs="Calibri"/>
        </w:rPr>
        <w:t>Que é preciso unha resposta  razoada a estas  alegacións  de acordo a la Ley 39/2015, de 1 de outubro, do Procedemento Administrativo  Común das  Administracións  Públicas.  A falta de resposta é motivo de nulidade  da tramitación.</w:t>
      </w:r>
    </w:p>
    <w:p w:rsidR="0057136A" w:rsidRDefault="0057136A">
      <w:pPr>
        <w:pStyle w:val="Standard"/>
        <w:spacing w:before="120" w:after="0" w:line="240" w:lineRule="auto"/>
        <w:jc w:val="both"/>
        <w:rPr>
          <w:rFonts w:cs="Calibri"/>
        </w:rPr>
      </w:pPr>
    </w:p>
    <w:p w:rsidR="0057136A" w:rsidRPr="006158A4" w:rsidRDefault="00156B72">
      <w:pPr>
        <w:pStyle w:val="Standard"/>
        <w:spacing w:after="0" w:line="240" w:lineRule="auto"/>
        <w:jc w:val="both"/>
        <w:rPr>
          <w:sz w:val="21"/>
          <w:szCs w:val="21"/>
        </w:rPr>
      </w:pPr>
      <w:r w:rsidRPr="006158A4">
        <w:rPr>
          <w:rFonts w:cs="Calibri"/>
          <w:sz w:val="21"/>
          <w:szCs w:val="21"/>
        </w:rPr>
        <w:t>En ___________</w:t>
      </w:r>
      <w:r w:rsidR="006158A4">
        <w:rPr>
          <w:rFonts w:cs="Calibri"/>
          <w:sz w:val="21"/>
          <w:szCs w:val="21"/>
        </w:rPr>
        <w:t>_______</w:t>
      </w:r>
      <w:r w:rsidRPr="006158A4">
        <w:rPr>
          <w:rFonts w:cs="Calibri"/>
          <w:sz w:val="21"/>
          <w:szCs w:val="21"/>
        </w:rPr>
        <w:t>___________a __________de</w:t>
      </w:r>
      <w:r w:rsidR="00166ED6">
        <w:rPr>
          <w:rFonts w:cs="Calibri"/>
          <w:sz w:val="21"/>
          <w:szCs w:val="21"/>
        </w:rPr>
        <w:t xml:space="preserve"> ______________</w:t>
      </w:r>
      <w:r w:rsidR="0066491D">
        <w:rPr>
          <w:rFonts w:cs="Calibri"/>
          <w:sz w:val="21"/>
          <w:szCs w:val="21"/>
        </w:rPr>
        <w:t xml:space="preserve"> </w:t>
      </w:r>
      <w:r w:rsidR="006158A4">
        <w:rPr>
          <w:rFonts w:cs="Calibri"/>
          <w:sz w:val="21"/>
          <w:szCs w:val="21"/>
        </w:rPr>
        <w:t>de 202</w:t>
      </w:r>
      <w:r w:rsidR="0066491D">
        <w:rPr>
          <w:rFonts w:cs="Calibri"/>
          <w:sz w:val="21"/>
          <w:szCs w:val="21"/>
        </w:rPr>
        <w:t>2</w:t>
      </w:r>
    </w:p>
    <w:p w:rsidR="0057136A" w:rsidRPr="006158A4" w:rsidRDefault="0057136A">
      <w:pPr>
        <w:pStyle w:val="Standard"/>
        <w:spacing w:after="0" w:line="240" w:lineRule="auto"/>
        <w:jc w:val="both"/>
        <w:rPr>
          <w:rFonts w:cs="Calibri"/>
          <w:sz w:val="21"/>
          <w:szCs w:val="21"/>
        </w:rPr>
      </w:pPr>
    </w:p>
    <w:p w:rsidR="0057136A" w:rsidRPr="006158A4" w:rsidRDefault="0057136A">
      <w:pPr>
        <w:pStyle w:val="Standard"/>
        <w:spacing w:after="0" w:line="240" w:lineRule="auto"/>
        <w:jc w:val="both"/>
        <w:rPr>
          <w:rFonts w:cs="Calibri"/>
          <w:sz w:val="21"/>
          <w:szCs w:val="21"/>
        </w:rPr>
      </w:pPr>
    </w:p>
    <w:p w:rsidR="0057136A" w:rsidRDefault="0057136A">
      <w:pPr>
        <w:pStyle w:val="Standard"/>
        <w:spacing w:after="0" w:line="240" w:lineRule="auto"/>
        <w:jc w:val="both"/>
        <w:rPr>
          <w:rFonts w:cs="Calibri"/>
          <w:sz w:val="21"/>
          <w:szCs w:val="21"/>
        </w:rPr>
      </w:pPr>
    </w:p>
    <w:p w:rsidR="006158A4" w:rsidRDefault="006158A4">
      <w:pPr>
        <w:pStyle w:val="Standard"/>
        <w:spacing w:after="0" w:line="240" w:lineRule="auto"/>
        <w:jc w:val="both"/>
        <w:rPr>
          <w:rFonts w:cs="Calibri"/>
          <w:sz w:val="21"/>
          <w:szCs w:val="21"/>
        </w:rPr>
      </w:pPr>
    </w:p>
    <w:p w:rsidR="00096FBD" w:rsidRDefault="00096FBD">
      <w:pPr>
        <w:pStyle w:val="Standard"/>
        <w:spacing w:after="0" w:line="240" w:lineRule="auto"/>
        <w:jc w:val="both"/>
        <w:rPr>
          <w:rFonts w:cs="Calibri"/>
          <w:sz w:val="21"/>
          <w:szCs w:val="21"/>
        </w:rPr>
      </w:pPr>
    </w:p>
    <w:p w:rsidR="0057136A" w:rsidRPr="006158A4" w:rsidRDefault="00156B72">
      <w:pPr>
        <w:pStyle w:val="Standard"/>
        <w:spacing w:after="0" w:line="240" w:lineRule="auto"/>
        <w:jc w:val="both"/>
        <w:rPr>
          <w:sz w:val="21"/>
          <w:szCs w:val="21"/>
        </w:rPr>
      </w:pPr>
      <w:r w:rsidRPr="006158A4">
        <w:rPr>
          <w:rFonts w:cs="Calibri"/>
          <w:sz w:val="21"/>
          <w:szCs w:val="21"/>
        </w:rPr>
        <w:t>Asdo.: _________________________________</w:t>
      </w:r>
    </w:p>
    <w:sectPr w:rsidR="0057136A" w:rsidRPr="006158A4" w:rsidSect="00166ED6">
      <w:pgSz w:w="11906" w:h="16838"/>
      <w:pgMar w:top="567" w:right="707" w:bottom="568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FF3" w:rsidRDefault="004C0FF3">
      <w:pPr>
        <w:spacing w:after="0" w:line="240" w:lineRule="auto"/>
      </w:pPr>
      <w:r>
        <w:separator/>
      </w:r>
    </w:p>
  </w:endnote>
  <w:endnote w:type="continuationSeparator" w:id="0">
    <w:p w:rsidR="004C0FF3" w:rsidRDefault="004C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FF3" w:rsidRDefault="004C0F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0FF3" w:rsidRDefault="004C0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597"/>
    <w:multiLevelType w:val="multilevel"/>
    <w:tmpl w:val="57AA8AEA"/>
    <w:styleLink w:val="WWNum10"/>
    <w:lvl w:ilvl="0">
      <w:start w:val="5"/>
      <w:numFmt w:val="decimal"/>
      <w:lvlText w:val="%1"/>
      <w:lvlJc w:val="left"/>
      <w:pPr>
        <w:ind w:left="269" w:hanging="154"/>
      </w:pPr>
      <w:rPr>
        <w:rFonts w:eastAsia="Calibri"/>
        <w:b/>
        <w:bCs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left="318" w:hanging="318"/>
      </w:pPr>
      <w:rPr>
        <w:rFonts w:eastAsia="Calibri"/>
        <w:b/>
        <w:bCs/>
        <w:spacing w:val="-1"/>
        <w:w w:val="99"/>
        <w:sz w:val="21"/>
        <w:szCs w:val="21"/>
      </w:rPr>
    </w:lvl>
    <w:lvl w:ilvl="2">
      <w:numFmt w:val="bullet"/>
      <w:lvlText w:val="•"/>
      <w:lvlJc w:val="left"/>
      <w:pPr>
        <w:ind w:left="434" w:hanging="318"/>
      </w:pPr>
    </w:lvl>
    <w:lvl w:ilvl="3">
      <w:numFmt w:val="bullet"/>
      <w:lvlText w:val="•"/>
      <w:lvlJc w:val="left"/>
      <w:pPr>
        <w:ind w:left="1613" w:hanging="318"/>
      </w:pPr>
    </w:lvl>
    <w:lvl w:ilvl="4">
      <w:numFmt w:val="bullet"/>
      <w:lvlText w:val="•"/>
      <w:lvlJc w:val="left"/>
      <w:pPr>
        <w:ind w:left="2792" w:hanging="318"/>
      </w:pPr>
    </w:lvl>
    <w:lvl w:ilvl="5">
      <w:numFmt w:val="bullet"/>
      <w:lvlText w:val="•"/>
      <w:lvlJc w:val="left"/>
      <w:pPr>
        <w:ind w:left="3971" w:hanging="318"/>
      </w:pPr>
    </w:lvl>
    <w:lvl w:ilvl="6">
      <w:numFmt w:val="bullet"/>
      <w:lvlText w:val="•"/>
      <w:lvlJc w:val="left"/>
      <w:pPr>
        <w:ind w:left="5150" w:hanging="318"/>
      </w:pPr>
    </w:lvl>
    <w:lvl w:ilvl="7">
      <w:numFmt w:val="bullet"/>
      <w:lvlText w:val="•"/>
      <w:lvlJc w:val="left"/>
      <w:pPr>
        <w:ind w:left="6329" w:hanging="318"/>
      </w:pPr>
    </w:lvl>
    <w:lvl w:ilvl="8">
      <w:numFmt w:val="bullet"/>
      <w:lvlText w:val="•"/>
      <w:lvlJc w:val="left"/>
      <w:pPr>
        <w:ind w:left="7508" w:hanging="318"/>
      </w:pPr>
    </w:lvl>
  </w:abstractNum>
  <w:abstractNum w:abstractNumId="1">
    <w:nsid w:val="0E4E7F50"/>
    <w:multiLevelType w:val="multilevel"/>
    <w:tmpl w:val="FC969BBC"/>
    <w:styleLink w:val="WWNum5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Calibri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22FD0E7B"/>
    <w:multiLevelType w:val="multilevel"/>
    <w:tmpl w:val="7EB6820E"/>
    <w:styleLink w:val="WWNum7"/>
    <w:lvl w:ilvl="0">
      <w:numFmt w:val="bullet"/>
      <w:lvlText w:val=""/>
      <w:lvlJc w:val="left"/>
      <w:pPr>
        <w:ind w:left="1080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">
    <w:nsid w:val="23256A0F"/>
    <w:multiLevelType w:val="multilevel"/>
    <w:tmpl w:val="077EBB6E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4C96682E"/>
    <w:multiLevelType w:val="multilevel"/>
    <w:tmpl w:val="F9E2F0A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>
    <w:nsid w:val="59AE429E"/>
    <w:multiLevelType w:val="multilevel"/>
    <w:tmpl w:val="CC904CA6"/>
    <w:styleLink w:val="WWNum1"/>
    <w:lvl w:ilvl="0">
      <w:numFmt w:val="bullet"/>
      <w:lvlText w:val="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6">
    <w:nsid w:val="5A76345F"/>
    <w:multiLevelType w:val="multilevel"/>
    <w:tmpl w:val="A82C303C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>
    <w:nsid w:val="61280A2C"/>
    <w:multiLevelType w:val="multilevel"/>
    <w:tmpl w:val="FBB032DE"/>
    <w:styleLink w:val="WWNum8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>
    <w:nsid w:val="6C0A7EA2"/>
    <w:multiLevelType w:val="multilevel"/>
    <w:tmpl w:val="C4E2AFCE"/>
    <w:styleLink w:val="WWNum9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9">
    <w:nsid w:val="717B42AF"/>
    <w:multiLevelType w:val="multilevel"/>
    <w:tmpl w:val="F9467E6C"/>
    <w:styleLink w:val="WWNum2"/>
    <w:lvl w:ilvl="0">
      <w:numFmt w:val="bullet"/>
      <w:lvlText w:val="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0">
    <w:nsid w:val="7C65102C"/>
    <w:multiLevelType w:val="multilevel"/>
    <w:tmpl w:val="435C8978"/>
    <w:styleLink w:val="WWNum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1">
    <w:nsid w:val="7E7D6361"/>
    <w:multiLevelType w:val="multilevel"/>
    <w:tmpl w:val="BCB633AE"/>
    <w:styleLink w:val="WWNum12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136A"/>
    <w:rsid w:val="00096FBD"/>
    <w:rsid w:val="000C5847"/>
    <w:rsid w:val="00156B72"/>
    <w:rsid w:val="00166ED6"/>
    <w:rsid w:val="001E1B81"/>
    <w:rsid w:val="00270A48"/>
    <w:rsid w:val="002810F1"/>
    <w:rsid w:val="002A5EE6"/>
    <w:rsid w:val="002D7035"/>
    <w:rsid w:val="0045467C"/>
    <w:rsid w:val="004C0FF3"/>
    <w:rsid w:val="00534E88"/>
    <w:rsid w:val="0057136A"/>
    <w:rsid w:val="006158A4"/>
    <w:rsid w:val="0066491D"/>
    <w:rsid w:val="00830B34"/>
    <w:rsid w:val="008311C4"/>
    <w:rsid w:val="0084644D"/>
    <w:rsid w:val="0098465F"/>
    <w:rsid w:val="009B1D23"/>
    <w:rsid w:val="009C3237"/>
    <w:rsid w:val="00A01E26"/>
    <w:rsid w:val="00B24E64"/>
    <w:rsid w:val="00C013CE"/>
    <w:rsid w:val="00C12C8E"/>
    <w:rsid w:val="00CE5415"/>
    <w:rsid w:val="00D67F9F"/>
    <w:rsid w:val="00EB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7F9F"/>
    <w:pPr>
      <w:suppressAutoHyphens/>
    </w:pPr>
  </w:style>
  <w:style w:type="paragraph" w:styleId="Ttulo1">
    <w:name w:val="heading 1"/>
    <w:basedOn w:val="Heading"/>
    <w:next w:val="Textbody"/>
    <w:rsid w:val="00D67F9F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67F9F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D67F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67F9F"/>
    <w:pPr>
      <w:widowControl w:val="0"/>
      <w:spacing w:after="0" w:line="240" w:lineRule="auto"/>
      <w:ind w:left="115"/>
    </w:pPr>
    <w:rPr>
      <w:rFonts w:eastAsia="Calibri"/>
      <w:sz w:val="21"/>
      <w:szCs w:val="21"/>
      <w:lang w:val="en-US"/>
    </w:rPr>
  </w:style>
  <w:style w:type="paragraph" w:styleId="Lista">
    <w:name w:val="List"/>
    <w:basedOn w:val="Textbody"/>
    <w:rsid w:val="00D67F9F"/>
    <w:rPr>
      <w:rFonts w:cs="Mangal"/>
    </w:rPr>
  </w:style>
  <w:style w:type="paragraph" w:customStyle="1" w:styleId="Descripcin">
    <w:name w:val="Descripción"/>
    <w:basedOn w:val="Standard"/>
    <w:rsid w:val="00D67F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67F9F"/>
    <w:pPr>
      <w:suppressLineNumbers/>
    </w:pPr>
    <w:rPr>
      <w:rFonts w:cs="Mangal"/>
    </w:rPr>
  </w:style>
  <w:style w:type="paragraph" w:styleId="Prrafodelista">
    <w:name w:val="List Paragraph"/>
    <w:basedOn w:val="Standard"/>
    <w:rsid w:val="00D67F9F"/>
    <w:pPr>
      <w:spacing w:after="0" w:line="240" w:lineRule="auto"/>
      <w:ind w:left="720"/>
    </w:pPr>
    <w:rPr>
      <w:rFonts w:cs="Calibri"/>
    </w:rPr>
  </w:style>
  <w:style w:type="paragraph" w:customStyle="1" w:styleId="Default">
    <w:name w:val="Default"/>
    <w:basedOn w:val="Standard"/>
    <w:rsid w:val="00D67F9F"/>
    <w:pPr>
      <w:spacing w:after="0" w:line="240" w:lineRule="auto"/>
    </w:pPr>
    <w:rPr>
      <w:rFonts w:ascii="Liberation Sans" w:hAnsi="Liberation Sans" w:cs="Times New Roman"/>
      <w:color w:val="000000"/>
      <w:sz w:val="24"/>
      <w:szCs w:val="24"/>
    </w:rPr>
  </w:style>
  <w:style w:type="paragraph" w:styleId="NormalWeb">
    <w:name w:val="Normal (Web)"/>
    <w:basedOn w:val="Standard"/>
    <w:rsid w:val="00D67F9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Paragraph">
    <w:name w:val="Table Paragraph"/>
    <w:basedOn w:val="Standard"/>
    <w:rsid w:val="00D67F9F"/>
    <w:pPr>
      <w:widowControl w:val="0"/>
      <w:spacing w:after="0" w:line="240" w:lineRule="auto"/>
    </w:pPr>
    <w:rPr>
      <w:lang w:val="en-US"/>
    </w:rPr>
  </w:style>
  <w:style w:type="paragraph" w:customStyle="1" w:styleId="Contents2">
    <w:name w:val="Contents 2"/>
    <w:basedOn w:val="Standard"/>
    <w:rsid w:val="00D67F9F"/>
    <w:pPr>
      <w:widowControl w:val="0"/>
      <w:tabs>
        <w:tab w:val="right" w:leader="dot" w:pos="9470"/>
      </w:tabs>
      <w:spacing w:after="0" w:line="240" w:lineRule="auto"/>
      <w:ind w:left="115"/>
    </w:pPr>
    <w:rPr>
      <w:rFonts w:eastAsia="Calibri"/>
      <w:sz w:val="21"/>
      <w:szCs w:val="21"/>
      <w:lang w:val="en-US"/>
    </w:rPr>
  </w:style>
  <w:style w:type="character" w:customStyle="1" w:styleId="markedcontent">
    <w:name w:val="markedcontent"/>
    <w:basedOn w:val="Fuentedeprrafopredeter"/>
    <w:rsid w:val="00D67F9F"/>
  </w:style>
  <w:style w:type="character" w:styleId="nfasis">
    <w:name w:val="Emphasis"/>
    <w:basedOn w:val="Fuentedeprrafopredeter"/>
    <w:rsid w:val="00D67F9F"/>
    <w:rPr>
      <w:i/>
      <w:iCs/>
    </w:rPr>
  </w:style>
  <w:style w:type="character" w:customStyle="1" w:styleId="TextoindependienteCar">
    <w:name w:val="Texto independiente Car"/>
    <w:basedOn w:val="Fuentedeprrafopredeter"/>
    <w:rsid w:val="00D67F9F"/>
    <w:rPr>
      <w:rFonts w:ascii="Calibri" w:eastAsia="Calibri" w:hAnsi="Calibri"/>
      <w:sz w:val="21"/>
      <w:szCs w:val="21"/>
      <w:lang w:val="en-US"/>
    </w:rPr>
  </w:style>
  <w:style w:type="character" w:customStyle="1" w:styleId="ListLabel1">
    <w:name w:val="ListLabel 1"/>
    <w:rsid w:val="00D67F9F"/>
    <w:rPr>
      <w:rFonts w:eastAsia="Calibri" w:cs="Times New Roman"/>
    </w:rPr>
  </w:style>
  <w:style w:type="character" w:customStyle="1" w:styleId="ListLabel2">
    <w:name w:val="ListLabel 2"/>
    <w:rsid w:val="00D67F9F"/>
    <w:rPr>
      <w:rFonts w:cs="Courier New"/>
    </w:rPr>
  </w:style>
  <w:style w:type="character" w:customStyle="1" w:styleId="ListLabel3">
    <w:name w:val="ListLabel 3"/>
    <w:rsid w:val="00D67F9F"/>
    <w:rPr>
      <w:rFonts w:cs="F"/>
    </w:rPr>
  </w:style>
  <w:style w:type="character" w:customStyle="1" w:styleId="ListLabel4">
    <w:name w:val="ListLabel 4"/>
    <w:rsid w:val="00D67F9F"/>
    <w:rPr>
      <w:rFonts w:cs="Calibri"/>
    </w:rPr>
  </w:style>
  <w:style w:type="character" w:customStyle="1" w:styleId="ListLabel5">
    <w:name w:val="ListLabel 5"/>
    <w:rsid w:val="00D67F9F"/>
    <w:rPr>
      <w:sz w:val="20"/>
    </w:rPr>
  </w:style>
  <w:style w:type="character" w:customStyle="1" w:styleId="ListLabel6">
    <w:name w:val="ListLabel 6"/>
    <w:rsid w:val="00D67F9F"/>
    <w:rPr>
      <w:rFonts w:cs="Times New Roman"/>
      <w:sz w:val="20"/>
    </w:rPr>
  </w:style>
  <w:style w:type="character" w:customStyle="1" w:styleId="ListLabel7">
    <w:name w:val="ListLabel 7"/>
    <w:rsid w:val="00D67F9F"/>
    <w:rPr>
      <w:rFonts w:eastAsia="Calibri"/>
      <w:b/>
      <w:bCs/>
      <w:w w:val="99"/>
      <w:sz w:val="21"/>
      <w:szCs w:val="21"/>
    </w:rPr>
  </w:style>
  <w:style w:type="character" w:customStyle="1" w:styleId="ListLabel8">
    <w:name w:val="ListLabel 8"/>
    <w:rsid w:val="00D67F9F"/>
    <w:rPr>
      <w:rFonts w:eastAsia="Calibri"/>
      <w:b/>
      <w:bCs/>
      <w:spacing w:val="-1"/>
      <w:w w:val="99"/>
      <w:sz w:val="21"/>
      <w:szCs w:val="21"/>
    </w:rPr>
  </w:style>
  <w:style w:type="numbering" w:customStyle="1" w:styleId="WWNum1">
    <w:name w:val="WWNum1"/>
    <w:basedOn w:val="Sinlista"/>
    <w:rsid w:val="00D67F9F"/>
    <w:pPr>
      <w:numPr>
        <w:numId w:val="1"/>
      </w:numPr>
    </w:pPr>
  </w:style>
  <w:style w:type="numbering" w:customStyle="1" w:styleId="WWNum2">
    <w:name w:val="WWNum2"/>
    <w:basedOn w:val="Sinlista"/>
    <w:rsid w:val="00D67F9F"/>
    <w:pPr>
      <w:numPr>
        <w:numId w:val="2"/>
      </w:numPr>
    </w:pPr>
  </w:style>
  <w:style w:type="numbering" w:customStyle="1" w:styleId="WWNum3">
    <w:name w:val="WWNum3"/>
    <w:basedOn w:val="Sinlista"/>
    <w:rsid w:val="00D67F9F"/>
    <w:pPr>
      <w:numPr>
        <w:numId w:val="3"/>
      </w:numPr>
    </w:pPr>
  </w:style>
  <w:style w:type="numbering" w:customStyle="1" w:styleId="WWNum4">
    <w:name w:val="WWNum4"/>
    <w:basedOn w:val="Sinlista"/>
    <w:rsid w:val="00D67F9F"/>
    <w:pPr>
      <w:numPr>
        <w:numId w:val="4"/>
      </w:numPr>
    </w:pPr>
  </w:style>
  <w:style w:type="numbering" w:customStyle="1" w:styleId="WWNum5">
    <w:name w:val="WWNum5"/>
    <w:basedOn w:val="Sinlista"/>
    <w:rsid w:val="00D67F9F"/>
    <w:pPr>
      <w:numPr>
        <w:numId w:val="5"/>
      </w:numPr>
    </w:pPr>
  </w:style>
  <w:style w:type="numbering" w:customStyle="1" w:styleId="WWNum6">
    <w:name w:val="WWNum6"/>
    <w:basedOn w:val="Sinlista"/>
    <w:rsid w:val="00D67F9F"/>
    <w:pPr>
      <w:numPr>
        <w:numId w:val="6"/>
      </w:numPr>
    </w:pPr>
  </w:style>
  <w:style w:type="numbering" w:customStyle="1" w:styleId="WWNum7">
    <w:name w:val="WWNum7"/>
    <w:basedOn w:val="Sinlista"/>
    <w:rsid w:val="00D67F9F"/>
    <w:pPr>
      <w:numPr>
        <w:numId w:val="7"/>
      </w:numPr>
    </w:pPr>
  </w:style>
  <w:style w:type="numbering" w:customStyle="1" w:styleId="WWNum8">
    <w:name w:val="WWNum8"/>
    <w:basedOn w:val="Sinlista"/>
    <w:rsid w:val="00D67F9F"/>
    <w:pPr>
      <w:numPr>
        <w:numId w:val="8"/>
      </w:numPr>
    </w:pPr>
  </w:style>
  <w:style w:type="numbering" w:customStyle="1" w:styleId="WWNum9">
    <w:name w:val="WWNum9"/>
    <w:basedOn w:val="Sinlista"/>
    <w:rsid w:val="00D67F9F"/>
    <w:pPr>
      <w:numPr>
        <w:numId w:val="9"/>
      </w:numPr>
    </w:pPr>
  </w:style>
  <w:style w:type="numbering" w:customStyle="1" w:styleId="WWNum10">
    <w:name w:val="WWNum10"/>
    <w:basedOn w:val="Sinlista"/>
    <w:rsid w:val="00D67F9F"/>
    <w:pPr>
      <w:numPr>
        <w:numId w:val="10"/>
      </w:numPr>
    </w:pPr>
  </w:style>
  <w:style w:type="numbering" w:customStyle="1" w:styleId="WWNum11">
    <w:name w:val="WWNum11"/>
    <w:basedOn w:val="Sinlista"/>
    <w:rsid w:val="00D67F9F"/>
    <w:pPr>
      <w:numPr>
        <w:numId w:val="11"/>
      </w:numPr>
    </w:pPr>
  </w:style>
  <w:style w:type="numbering" w:customStyle="1" w:styleId="WWNum12">
    <w:name w:val="WWNum12"/>
    <w:basedOn w:val="Sinlista"/>
    <w:rsid w:val="00D67F9F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  <w:ind w:left="115"/>
    </w:pPr>
    <w:rPr>
      <w:rFonts w:eastAsia="Calibri"/>
      <w:sz w:val="21"/>
      <w:szCs w:val="21"/>
      <w:lang w:val="en-US"/>
    </w:rPr>
  </w:style>
  <w:style w:type="paragraph" w:styleId="Lista">
    <w:name w:val="List"/>
    <w:basedOn w:val="Textbody"/>
    <w:rPr>
      <w:rFonts w:cs="Mangal"/>
    </w:rPr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rrafodelista">
    <w:name w:val="List Paragraph"/>
    <w:basedOn w:val="Standard"/>
    <w:pPr>
      <w:spacing w:after="0" w:line="240" w:lineRule="auto"/>
      <w:ind w:left="720"/>
    </w:pPr>
    <w:rPr>
      <w:rFonts w:cs="Calibri"/>
    </w:rPr>
  </w:style>
  <w:style w:type="paragraph" w:customStyle="1" w:styleId="Default">
    <w:name w:val="Default"/>
    <w:basedOn w:val="Standard"/>
    <w:pPr>
      <w:spacing w:after="0" w:line="240" w:lineRule="auto"/>
    </w:pPr>
    <w:rPr>
      <w:rFonts w:ascii="Liberation Sans" w:hAnsi="Liberation Sans" w:cs="Times New Roman"/>
      <w:color w:val="000000"/>
      <w:sz w:val="24"/>
      <w:szCs w:val="24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Paragraph">
    <w:name w:val="Table Paragraph"/>
    <w:basedOn w:val="Standard"/>
    <w:pPr>
      <w:widowControl w:val="0"/>
      <w:spacing w:after="0" w:line="240" w:lineRule="auto"/>
    </w:pPr>
    <w:rPr>
      <w:lang w:val="en-US"/>
    </w:rPr>
  </w:style>
  <w:style w:type="paragraph" w:customStyle="1" w:styleId="Contents2">
    <w:name w:val="Contents 2"/>
    <w:basedOn w:val="Standard"/>
    <w:pPr>
      <w:widowControl w:val="0"/>
      <w:tabs>
        <w:tab w:val="right" w:leader="dot" w:pos="9470"/>
      </w:tabs>
      <w:spacing w:after="0" w:line="240" w:lineRule="auto"/>
      <w:ind w:left="115"/>
    </w:pPr>
    <w:rPr>
      <w:rFonts w:eastAsia="Calibri"/>
      <w:sz w:val="21"/>
      <w:szCs w:val="21"/>
      <w:lang w:val="en-US"/>
    </w:rPr>
  </w:style>
  <w:style w:type="character" w:customStyle="1" w:styleId="markedcontent">
    <w:name w:val="markedcontent"/>
    <w:basedOn w:val="Fuentedeprrafopredeter"/>
  </w:style>
  <w:style w:type="character" w:styleId="nfasis">
    <w:name w:val="Emphasis"/>
    <w:basedOn w:val="Fuentedeprrafopredeter"/>
    <w:rPr>
      <w:i/>
      <w:iCs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/>
      <w:sz w:val="21"/>
      <w:szCs w:val="21"/>
      <w:lang w:val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F"/>
    </w:rPr>
  </w:style>
  <w:style w:type="character" w:customStyle="1" w:styleId="ListLabel4">
    <w:name w:val="ListLabel 4"/>
    <w:rPr>
      <w:rFonts w:cs="Calibri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Times New Roman"/>
      <w:sz w:val="20"/>
    </w:rPr>
  </w:style>
  <w:style w:type="character" w:customStyle="1" w:styleId="ListLabel7">
    <w:name w:val="ListLabel 7"/>
    <w:rPr>
      <w:rFonts w:eastAsia="Calibri"/>
      <w:b/>
      <w:bCs/>
      <w:w w:val="99"/>
      <w:sz w:val="21"/>
      <w:szCs w:val="21"/>
    </w:rPr>
  </w:style>
  <w:style w:type="character" w:customStyle="1" w:styleId="ListLabel8">
    <w:name w:val="ListLabel 8"/>
    <w:rPr>
      <w:rFonts w:eastAsia="Calibri"/>
      <w:b/>
      <w:bCs/>
      <w:spacing w:val="-1"/>
      <w:w w:val="99"/>
      <w:sz w:val="21"/>
      <w:szCs w:val="21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1045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Anxo</dc:creator>
  <cp:lastModifiedBy>Bruno</cp:lastModifiedBy>
  <cp:revision>3</cp:revision>
  <cp:lastPrinted>2021-12-28T16:35:00Z</cp:lastPrinted>
  <dcterms:created xsi:type="dcterms:W3CDTF">2022-04-05T23:00:00Z</dcterms:created>
  <dcterms:modified xsi:type="dcterms:W3CDTF">2022-04-09T07:28:00Z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