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D71A5E2" w14:textId="77777777" w:rsidR="003B05C0" w:rsidRPr="003B05C0" w:rsidRDefault="003B05C0" w:rsidP="00D06ADA">
      <w:pPr>
        <w:autoSpaceDE w:val="0"/>
        <w:autoSpaceDN w:val="0"/>
        <w:adjustRightInd w:val="0"/>
        <w:spacing w:after="0" w:line="240" w:lineRule="auto"/>
        <w:ind w:left="2124" w:hanging="2124"/>
        <w:rPr>
          <w:rFonts w:asciiTheme="minorHAnsi" w:hAnsiTheme="minorHAnsi" w:cstheme="minorHAnsi"/>
          <w:color w:val="000000"/>
          <w:sz w:val="24"/>
          <w:szCs w:val="24"/>
          <w:lang w:eastAsia="es-ES"/>
        </w:rPr>
      </w:pPr>
    </w:p>
    <w:p w14:paraId="0BF5BA8D" w14:textId="406E29AA" w:rsidR="003B05C0" w:rsidRDefault="003B05C0" w:rsidP="00BD22D8">
      <w:pPr>
        <w:autoSpaceDE w:val="0"/>
        <w:autoSpaceDN w:val="0"/>
        <w:adjustRightInd w:val="0"/>
        <w:spacing w:before="100" w:after="100" w:line="221" w:lineRule="atLeast"/>
        <w:jc w:val="center"/>
        <w:rPr>
          <w:rFonts w:asciiTheme="minorHAnsi" w:hAnsiTheme="minorHAnsi" w:cstheme="minorHAnsi"/>
          <w:b/>
          <w:bCs/>
          <w:color w:val="221E1F"/>
          <w:sz w:val="23"/>
          <w:szCs w:val="23"/>
          <w:lang w:eastAsia="es-ES"/>
        </w:rPr>
      </w:pPr>
      <w:r w:rsidRPr="003B05C0">
        <w:rPr>
          <w:rFonts w:asciiTheme="minorHAnsi" w:hAnsiTheme="minorHAnsi" w:cstheme="minorHAnsi"/>
          <w:b/>
          <w:color w:val="000000"/>
          <w:sz w:val="24"/>
          <w:szCs w:val="24"/>
          <w:lang w:eastAsia="es-ES"/>
        </w:rPr>
        <w:t xml:space="preserve">A </w:t>
      </w:r>
      <w:r w:rsidRPr="003B05C0">
        <w:rPr>
          <w:rFonts w:asciiTheme="minorHAnsi" w:hAnsiTheme="minorHAnsi" w:cstheme="minorHAnsi"/>
          <w:b/>
          <w:bCs/>
          <w:color w:val="221E1F"/>
          <w:sz w:val="23"/>
          <w:szCs w:val="23"/>
          <w:lang w:eastAsia="es-ES"/>
        </w:rPr>
        <w:t>VICEPRESIDENCIA PRIMEIRA E CONSELLERÍA DE ECONOMÍA, INDUSTRIA E INNOVACIÓN</w:t>
      </w:r>
    </w:p>
    <w:p w14:paraId="61FDADE3" w14:textId="77777777" w:rsidR="00BD22D8" w:rsidRPr="00B75EBA" w:rsidRDefault="00BD22D8" w:rsidP="00BD22D8">
      <w:pPr>
        <w:spacing w:after="0" w:line="240" w:lineRule="auto"/>
        <w:jc w:val="center"/>
        <w:rPr>
          <w:bCs/>
        </w:rPr>
      </w:pPr>
      <w:r w:rsidRPr="00B75EBA">
        <w:rPr>
          <w:bCs/>
        </w:rPr>
        <w:t>XEFATURA TERRITORIAL DE PONTEVEDRA</w:t>
      </w:r>
    </w:p>
    <w:p w14:paraId="5C04D50D" w14:textId="77777777" w:rsidR="00BD22D8" w:rsidRDefault="00BD22D8" w:rsidP="00BD22D8">
      <w:pPr>
        <w:spacing w:line="240" w:lineRule="auto"/>
        <w:jc w:val="center"/>
      </w:pPr>
      <w:r w:rsidRPr="00B75EBA">
        <w:t xml:space="preserve">Avda. María Victoria Moreno, 43 5ª - </w:t>
      </w:r>
      <w:bookmarkStart w:id="0" w:name="_Hlk130552500"/>
      <w:r w:rsidRPr="00B75EBA">
        <w:t>36003</w:t>
      </w:r>
      <w:bookmarkEnd w:id="0"/>
      <w:r w:rsidRPr="00B75EBA">
        <w:t xml:space="preserve"> - Pontevedra (Pontevedra)</w:t>
      </w:r>
    </w:p>
    <w:p w14:paraId="0EFB83D8" w14:textId="77777777" w:rsidR="00BD22D8" w:rsidRPr="003B05C0" w:rsidRDefault="00BD22D8" w:rsidP="003B05C0">
      <w:pPr>
        <w:autoSpaceDE w:val="0"/>
        <w:autoSpaceDN w:val="0"/>
        <w:adjustRightInd w:val="0"/>
        <w:spacing w:before="100" w:after="100" w:line="221" w:lineRule="atLeast"/>
        <w:jc w:val="both"/>
        <w:rPr>
          <w:rFonts w:asciiTheme="minorHAnsi" w:hAnsiTheme="minorHAnsi" w:cstheme="minorHAnsi"/>
          <w:color w:val="221E1F"/>
          <w:sz w:val="23"/>
          <w:szCs w:val="23"/>
          <w:lang w:eastAsia="es-ES"/>
        </w:rPr>
      </w:pPr>
    </w:p>
    <w:p w14:paraId="3E7EF690" w14:textId="24CA7562" w:rsidR="009211D9" w:rsidRPr="003B05C0" w:rsidRDefault="003B05C0" w:rsidP="003B05C0">
      <w:pPr>
        <w:autoSpaceDE w:val="0"/>
        <w:autoSpaceDN w:val="0"/>
        <w:adjustRightInd w:val="0"/>
        <w:spacing w:after="0" w:line="240" w:lineRule="auto"/>
        <w:jc w:val="both"/>
        <w:rPr>
          <w:rFonts w:asciiTheme="minorHAnsi" w:hAnsiTheme="minorHAnsi" w:cstheme="minorHAnsi"/>
          <w:b/>
          <w:bCs/>
          <w:sz w:val="24"/>
          <w:szCs w:val="24"/>
        </w:rPr>
      </w:pPr>
      <w:r>
        <w:rPr>
          <w:rFonts w:asciiTheme="minorHAnsi" w:hAnsiTheme="minorHAnsi" w:cstheme="minorHAnsi"/>
          <w:i/>
          <w:iCs/>
          <w:color w:val="000000"/>
          <w:lang w:eastAsia="es-ES"/>
        </w:rPr>
        <w:t xml:space="preserve">Asunto: Alegación á </w:t>
      </w:r>
      <w:r w:rsidRPr="003B05C0">
        <w:rPr>
          <w:rFonts w:asciiTheme="minorHAnsi" w:hAnsiTheme="minorHAnsi" w:cstheme="minorHAnsi"/>
          <w:i/>
          <w:iCs/>
          <w:color w:val="000000"/>
          <w:lang w:eastAsia="es-ES"/>
        </w:rPr>
        <w:t xml:space="preserve">RESOLUCIÓN do 24 de xaneiro de 2023, da Xefatura Territorial de Pontevedra, pola que se someten a información pública o estudo de impacto ambiental, as solicitudes de autorización administrativa previa e de construción e o proxecto sectorial (proxecto de interese autonómico), en concreto, das instalacións do parque eólico Torroña I, situado nos concellos de Baiona, Oia e Tomiño, provincia de Pontevedra (expediente </w:t>
      </w:r>
      <w:r w:rsidRPr="00B33A1D">
        <w:rPr>
          <w:rFonts w:asciiTheme="minorHAnsi" w:hAnsiTheme="minorHAnsi" w:cstheme="minorHAnsi"/>
          <w:b/>
          <w:i/>
          <w:iCs/>
          <w:color w:val="000000"/>
          <w:lang w:eastAsia="es-ES"/>
        </w:rPr>
        <w:t>IN408A 2020/24</w:t>
      </w:r>
      <w:r w:rsidRPr="003B05C0">
        <w:rPr>
          <w:rFonts w:asciiTheme="minorHAnsi" w:hAnsiTheme="minorHAnsi" w:cstheme="minorHAnsi"/>
          <w:i/>
          <w:iCs/>
          <w:color w:val="000000"/>
          <w:lang w:eastAsia="es-ES"/>
        </w:rPr>
        <w:t>).</w:t>
      </w:r>
    </w:p>
    <w:p w14:paraId="27C5D91E" w14:textId="77777777" w:rsidR="009211D9" w:rsidRDefault="009211D9" w:rsidP="0084232F">
      <w:pPr>
        <w:autoSpaceDE w:val="0"/>
        <w:autoSpaceDN w:val="0"/>
        <w:adjustRightInd w:val="0"/>
        <w:spacing w:after="0" w:line="240" w:lineRule="auto"/>
        <w:jc w:val="both"/>
        <w:rPr>
          <w:rFonts w:cs="Calibri"/>
          <w:b/>
          <w:bCs/>
          <w:sz w:val="24"/>
          <w:szCs w:val="24"/>
        </w:rPr>
      </w:pPr>
    </w:p>
    <w:p w14:paraId="3CFAD81E" w14:textId="77777777" w:rsidR="009B3A3A" w:rsidRPr="00501ECF" w:rsidRDefault="009B3A3A" w:rsidP="0084232F">
      <w:pPr>
        <w:autoSpaceDE w:val="0"/>
        <w:autoSpaceDN w:val="0"/>
        <w:adjustRightInd w:val="0"/>
        <w:spacing w:after="0" w:line="240" w:lineRule="auto"/>
        <w:rPr>
          <w:rFonts w:cs="Calibri"/>
          <w:b/>
          <w:bCs/>
          <w:sz w:val="24"/>
          <w:szCs w:val="24"/>
        </w:rPr>
      </w:pPr>
    </w:p>
    <w:p w14:paraId="7E41D30F" w14:textId="0A1437CE" w:rsidR="009B3A3A" w:rsidRPr="00501ECF" w:rsidRDefault="009B3A3A" w:rsidP="00717F9D">
      <w:pPr>
        <w:autoSpaceDE w:val="0"/>
        <w:autoSpaceDN w:val="0"/>
        <w:adjustRightInd w:val="0"/>
        <w:spacing w:after="0" w:line="240" w:lineRule="auto"/>
        <w:jc w:val="both"/>
        <w:rPr>
          <w:rFonts w:cs="Calibri"/>
          <w:sz w:val="24"/>
          <w:szCs w:val="24"/>
        </w:rPr>
      </w:pPr>
      <w:r w:rsidRPr="00501ECF">
        <w:rPr>
          <w:rFonts w:cs="Calibri"/>
          <w:sz w:val="24"/>
          <w:szCs w:val="24"/>
        </w:rPr>
        <w:t>Don/Dona_______________</w:t>
      </w:r>
      <w:r w:rsidR="00717F9D">
        <w:rPr>
          <w:rFonts w:cs="Calibri"/>
          <w:sz w:val="24"/>
          <w:szCs w:val="24"/>
        </w:rPr>
        <w:t>_______________con DNI: _______</w:t>
      </w:r>
      <w:r w:rsidRPr="00501ECF">
        <w:rPr>
          <w:rFonts w:cs="Calibri"/>
          <w:sz w:val="24"/>
          <w:szCs w:val="24"/>
        </w:rPr>
        <w:t>___</w:t>
      </w:r>
      <w:r w:rsidR="00717F9D">
        <w:rPr>
          <w:rFonts w:cs="Calibri"/>
          <w:sz w:val="24"/>
          <w:szCs w:val="24"/>
        </w:rPr>
        <w:t>______________</w:t>
      </w:r>
      <w:r w:rsidRPr="00501ECF">
        <w:rPr>
          <w:rFonts w:cs="Calibri"/>
          <w:sz w:val="24"/>
          <w:szCs w:val="24"/>
        </w:rPr>
        <w:t>,</w:t>
      </w:r>
    </w:p>
    <w:p w14:paraId="3E4AD053" w14:textId="198EE4E3" w:rsidR="009B3A3A" w:rsidRPr="00501ECF" w:rsidRDefault="009B3A3A" w:rsidP="00717F9D">
      <w:pPr>
        <w:autoSpaceDE w:val="0"/>
        <w:autoSpaceDN w:val="0"/>
        <w:adjustRightInd w:val="0"/>
        <w:spacing w:after="0" w:line="240" w:lineRule="auto"/>
        <w:jc w:val="both"/>
        <w:rPr>
          <w:rFonts w:cs="Calibri"/>
          <w:sz w:val="24"/>
          <w:szCs w:val="24"/>
        </w:rPr>
      </w:pPr>
      <w:r w:rsidRPr="00501ECF">
        <w:rPr>
          <w:rFonts w:cs="Calibri"/>
          <w:sz w:val="24"/>
          <w:szCs w:val="24"/>
        </w:rPr>
        <w:t xml:space="preserve">con domicilio a efectos de </w:t>
      </w:r>
      <w:r w:rsidR="00717F9D">
        <w:rPr>
          <w:rFonts w:cs="Calibri"/>
          <w:sz w:val="24"/>
          <w:szCs w:val="24"/>
        </w:rPr>
        <w:t>n</w:t>
      </w:r>
      <w:r w:rsidRPr="00501ECF">
        <w:rPr>
          <w:rFonts w:cs="Calibri"/>
          <w:sz w:val="24"/>
          <w:szCs w:val="24"/>
        </w:rPr>
        <w:t xml:space="preserve">otificacións______________________________________, C. P.: ______________ concello de ______________, </w:t>
      </w:r>
      <w:r w:rsidR="00717F9D">
        <w:rPr>
          <w:rFonts w:cs="Calibri"/>
          <w:sz w:val="24"/>
          <w:szCs w:val="24"/>
        </w:rPr>
        <w:t>P</w:t>
      </w:r>
      <w:r w:rsidRPr="00501ECF">
        <w:rPr>
          <w:rFonts w:cs="Calibri"/>
          <w:sz w:val="24"/>
          <w:szCs w:val="24"/>
        </w:rPr>
        <w:t>rovincia</w:t>
      </w:r>
      <w:r w:rsidR="00717F9D">
        <w:rPr>
          <w:rFonts w:cs="Calibri"/>
          <w:sz w:val="24"/>
          <w:szCs w:val="24"/>
        </w:rPr>
        <w:t xml:space="preserve"> </w:t>
      </w:r>
      <w:r w:rsidRPr="00501ECF">
        <w:rPr>
          <w:rFonts w:cs="Calibri"/>
          <w:sz w:val="24"/>
          <w:szCs w:val="24"/>
        </w:rPr>
        <w:t>__________________, teléfono ____________________</w:t>
      </w:r>
    </w:p>
    <w:p w14:paraId="5726CCF4" w14:textId="77777777" w:rsidR="009B3A3A" w:rsidRPr="00501ECF" w:rsidRDefault="009B3A3A" w:rsidP="0084232F">
      <w:pPr>
        <w:autoSpaceDE w:val="0"/>
        <w:autoSpaceDN w:val="0"/>
        <w:adjustRightInd w:val="0"/>
        <w:spacing w:after="0" w:line="240" w:lineRule="auto"/>
        <w:rPr>
          <w:rFonts w:cs="Calibri"/>
          <w:sz w:val="24"/>
          <w:szCs w:val="24"/>
        </w:rPr>
      </w:pPr>
    </w:p>
    <w:p w14:paraId="06918D74" w14:textId="77777777" w:rsidR="009B3A3A" w:rsidRPr="00501ECF" w:rsidRDefault="009B3A3A" w:rsidP="0084232F">
      <w:pPr>
        <w:autoSpaceDE w:val="0"/>
        <w:autoSpaceDN w:val="0"/>
        <w:adjustRightInd w:val="0"/>
        <w:spacing w:after="0" w:line="240" w:lineRule="auto"/>
        <w:jc w:val="both"/>
        <w:rPr>
          <w:rFonts w:cs="Calibri"/>
          <w:b/>
          <w:bCs/>
          <w:sz w:val="24"/>
          <w:szCs w:val="24"/>
        </w:rPr>
      </w:pPr>
      <w:r w:rsidRPr="00501ECF">
        <w:rPr>
          <w:rFonts w:cs="Calibri"/>
          <w:b/>
          <w:bCs/>
          <w:sz w:val="24"/>
          <w:szCs w:val="24"/>
        </w:rPr>
        <w:t>EXPÓN:</w:t>
      </w:r>
    </w:p>
    <w:p w14:paraId="15D97F0D" w14:textId="017FE176" w:rsidR="00E11D5C" w:rsidRPr="003B05C0" w:rsidRDefault="009B3A3A" w:rsidP="00E11D5C">
      <w:pPr>
        <w:autoSpaceDE w:val="0"/>
        <w:autoSpaceDN w:val="0"/>
        <w:adjustRightInd w:val="0"/>
        <w:spacing w:after="0" w:line="240" w:lineRule="auto"/>
        <w:jc w:val="both"/>
        <w:rPr>
          <w:rFonts w:asciiTheme="minorHAnsi" w:hAnsiTheme="minorHAnsi" w:cstheme="minorHAnsi"/>
          <w:b/>
          <w:bCs/>
          <w:sz w:val="24"/>
          <w:szCs w:val="24"/>
        </w:rPr>
      </w:pPr>
      <w:r w:rsidRPr="00501ECF">
        <w:rPr>
          <w:rFonts w:cs="Calibri"/>
        </w:rPr>
        <w:t xml:space="preserve">Á vista dá </w:t>
      </w:r>
      <w:r w:rsidR="003B05C0" w:rsidRPr="003B05C0">
        <w:rPr>
          <w:rFonts w:asciiTheme="minorHAnsi" w:hAnsiTheme="minorHAnsi" w:cstheme="minorHAnsi"/>
          <w:i/>
          <w:iCs/>
          <w:color w:val="000000"/>
          <w:lang w:eastAsia="es-ES"/>
        </w:rPr>
        <w:t>RESOLUCIÓN do 24 de xaneiro de 2023, da Xefatura Territorial de Pontevedra, pola que se someten a información pública o estudo de impacto ambiental, as solicitudes de autorización administrativa previa e de construción e o proxecto sectorial (proxecto de interese autonómico), en concreto, das instalacións do parque eólico Torroña I, situado nos concellos de Baiona, Oia e Tomiño, provincia de Pontevedra (expediente IN408A 2020/24).</w:t>
      </w:r>
      <w:r w:rsidR="00E11D5C">
        <w:rPr>
          <w:rFonts w:cstheme="minorHAnsi"/>
          <w:b/>
          <w:i/>
          <w:iCs/>
        </w:rPr>
        <w:t xml:space="preserve"> </w:t>
      </w:r>
      <w:r w:rsidR="00E11D5C" w:rsidRPr="007B7E2E">
        <w:rPr>
          <w:rFonts w:cs="Calibri"/>
          <w:bCs/>
        </w:rPr>
        <w:t xml:space="preserve">DOG Núm. </w:t>
      </w:r>
      <w:r w:rsidR="003B05C0">
        <w:rPr>
          <w:rFonts w:cs="Calibri"/>
          <w:bCs/>
        </w:rPr>
        <w:t>4</w:t>
      </w:r>
      <w:r w:rsidR="00E11D5C" w:rsidRPr="007B7E2E">
        <w:rPr>
          <w:rFonts w:cs="Calibri"/>
          <w:bCs/>
        </w:rPr>
        <w:t xml:space="preserve">4, do </w:t>
      </w:r>
      <w:r w:rsidR="003B05C0">
        <w:rPr>
          <w:rFonts w:cs="Calibri"/>
          <w:bCs/>
        </w:rPr>
        <w:t>3</w:t>
      </w:r>
      <w:r w:rsidR="00E11D5C">
        <w:rPr>
          <w:rFonts w:cs="Calibri"/>
          <w:bCs/>
        </w:rPr>
        <w:t xml:space="preserve"> de </w:t>
      </w:r>
      <w:r w:rsidR="003B05C0">
        <w:rPr>
          <w:rFonts w:cs="Calibri"/>
          <w:bCs/>
        </w:rPr>
        <w:t>marzo</w:t>
      </w:r>
      <w:r w:rsidR="00E11D5C">
        <w:rPr>
          <w:rFonts w:cs="Calibri"/>
          <w:bCs/>
        </w:rPr>
        <w:t xml:space="preserve"> de </w:t>
      </w:r>
      <w:r w:rsidR="003B05C0">
        <w:rPr>
          <w:rFonts w:cs="Calibri"/>
          <w:bCs/>
        </w:rPr>
        <w:t>2023</w:t>
      </w:r>
      <w:r w:rsidRPr="00501ECF">
        <w:rPr>
          <w:rFonts w:cs="Calibri"/>
        </w:rPr>
        <w:t xml:space="preserve">, por medio do presente escrito realiza as seguintes </w:t>
      </w:r>
    </w:p>
    <w:p w14:paraId="187B50BA" w14:textId="77777777" w:rsidR="00E11D5C" w:rsidRDefault="00E11D5C" w:rsidP="00E11D5C">
      <w:pPr>
        <w:autoSpaceDE w:val="0"/>
        <w:autoSpaceDN w:val="0"/>
        <w:adjustRightInd w:val="0"/>
        <w:spacing w:after="0" w:line="240" w:lineRule="auto"/>
        <w:jc w:val="both"/>
        <w:rPr>
          <w:rFonts w:cs="Calibri"/>
        </w:rPr>
      </w:pPr>
    </w:p>
    <w:p w14:paraId="18EC4255" w14:textId="53EBCF44" w:rsidR="009B3A3A" w:rsidRPr="00501ECF" w:rsidRDefault="009B3A3A" w:rsidP="00E11D5C">
      <w:pPr>
        <w:autoSpaceDE w:val="0"/>
        <w:autoSpaceDN w:val="0"/>
        <w:adjustRightInd w:val="0"/>
        <w:spacing w:after="0" w:line="240" w:lineRule="auto"/>
        <w:jc w:val="both"/>
        <w:rPr>
          <w:rFonts w:cs="Calibri"/>
          <w:b/>
          <w:bCs/>
        </w:rPr>
      </w:pPr>
      <w:r w:rsidRPr="00501ECF">
        <w:rPr>
          <w:rFonts w:cs="Calibri"/>
          <w:b/>
          <w:bCs/>
        </w:rPr>
        <w:t>ALEGACIÓNS:</w:t>
      </w:r>
    </w:p>
    <w:p w14:paraId="3AB96A48" w14:textId="77F10803" w:rsidR="00331983" w:rsidRDefault="00331983">
      <w:pPr>
        <w:spacing w:after="0" w:line="240" w:lineRule="auto"/>
        <w:rPr>
          <w:rFonts w:cs="Calibri"/>
          <w:b/>
          <w:iCs/>
          <w:color w:val="000000"/>
          <w:sz w:val="24"/>
          <w:szCs w:val="24"/>
          <w:u w:val="single"/>
        </w:rPr>
      </w:pPr>
      <w:r>
        <w:rPr>
          <w:rFonts w:cs="Calibri"/>
          <w:b/>
          <w:iCs/>
          <w:color w:val="000000"/>
          <w:sz w:val="24"/>
          <w:szCs w:val="24"/>
          <w:u w:val="single"/>
        </w:rPr>
        <w:br w:type="page"/>
      </w:r>
    </w:p>
    <w:p w14:paraId="74CD61F5" w14:textId="77777777" w:rsidR="009B3A3A" w:rsidRPr="00501ECF" w:rsidRDefault="009B3A3A" w:rsidP="004E2AC0">
      <w:pPr>
        <w:ind w:left="708" w:hanging="708"/>
        <w:jc w:val="both"/>
        <w:rPr>
          <w:rFonts w:cs="Calibri"/>
          <w:b/>
          <w:iCs/>
          <w:color w:val="000000"/>
          <w:sz w:val="24"/>
          <w:szCs w:val="24"/>
          <w:u w:val="single"/>
        </w:rPr>
      </w:pPr>
    </w:p>
    <w:p w14:paraId="762F16DB" w14:textId="77777777" w:rsidR="009B3A3A" w:rsidRDefault="009B3A3A" w:rsidP="00076AE0">
      <w:pPr>
        <w:jc w:val="both"/>
        <w:rPr>
          <w:rFonts w:cs="Calibri"/>
          <w:b/>
          <w:iCs/>
          <w:color w:val="000000"/>
          <w:sz w:val="24"/>
          <w:szCs w:val="24"/>
          <w:u w:val="single"/>
        </w:rPr>
      </w:pPr>
      <w:r w:rsidRPr="00501ECF">
        <w:rPr>
          <w:rFonts w:cs="Calibri"/>
          <w:b/>
          <w:iCs/>
          <w:color w:val="000000"/>
          <w:sz w:val="24"/>
          <w:szCs w:val="24"/>
          <w:u w:val="single"/>
        </w:rPr>
        <w:t>Tabla de contenido:</w:t>
      </w:r>
    </w:p>
    <w:p w14:paraId="7302B5FD" w14:textId="77777777" w:rsidR="00D2055F" w:rsidRDefault="00D11274">
      <w:pPr>
        <w:pStyle w:val="TDC1"/>
        <w:rPr>
          <w:rFonts w:asciiTheme="minorHAnsi" w:eastAsiaTheme="minorEastAsia" w:hAnsiTheme="minorHAnsi" w:cstheme="minorBidi"/>
          <w:noProof/>
          <w:lang w:eastAsia="es-ES"/>
        </w:rPr>
      </w:pPr>
      <w:r w:rsidRPr="00331983">
        <w:rPr>
          <w:rFonts w:asciiTheme="minorHAnsi" w:hAnsiTheme="minorHAnsi" w:cstheme="minorHAnsi"/>
          <w:sz w:val="24"/>
          <w:szCs w:val="24"/>
        </w:rPr>
        <w:fldChar w:fldCharType="begin"/>
      </w:r>
      <w:r w:rsidRPr="00331983">
        <w:rPr>
          <w:rFonts w:asciiTheme="minorHAnsi" w:hAnsiTheme="minorHAnsi" w:cstheme="minorHAnsi"/>
          <w:sz w:val="24"/>
          <w:szCs w:val="24"/>
        </w:rPr>
        <w:instrText xml:space="preserve"> TOC \o "1-3" \h \z \u </w:instrText>
      </w:r>
      <w:r w:rsidRPr="00331983">
        <w:rPr>
          <w:rFonts w:asciiTheme="minorHAnsi" w:hAnsiTheme="minorHAnsi" w:cstheme="minorHAnsi"/>
          <w:sz w:val="24"/>
          <w:szCs w:val="24"/>
        </w:rPr>
        <w:fldChar w:fldCharType="separate"/>
      </w:r>
      <w:hyperlink w:anchor="_Toc132510936" w:history="1">
        <w:r w:rsidR="00D2055F" w:rsidRPr="00947A5F">
          <w:rPr>
            <w:rStyle w:val="Hipervnculo"/>
            <w:rFonts w:cstheme="minorHAnsi"/>
            <w:caps/>
            <w:noProof/>
          </w:rPr>
          <w:t>Consideracións previas</w:t>
        </w:r>
        <w:r w:rsidR="00D2055F">
          <w:rPr>
            <w:noProof/>
            <w:webHidden/>
          </w:rPr>
          <w:tab/>
        </w:r>
        <w:r w:rsidR="00D2055F">
          <w:rPr>
            <w:noProof/>
            <w:webHidden/>
          </w:rPr>
          <w:fldChar w:fldCharType="begin"/>
        </w:r>
        <w:r w:rsidR="00D2055F">
          <w:rPr>
            <w:noProof/>
            <w:webHidden/>
          </w:rPr>
          <w:instrText xml:space="preserve"> PAGEREF _Toc132510936 \h </w:instrText>
        </w:r>
        <w:r w:rsidR="00D2055F">
          <w:rPr>
            <w:noProof/>
            <w:webHidden/>
          </w:rPr>
        </w:r>
        <w:r w:rsidR="00D2055F">
          <w:rPr>
            <w:noProof/>
            <w:webHidden/>
          </w:rPr>
          <w:fldChar w:fldCharType="separate"/>
        </w:r>
        <w:r w:rsidR="00421DFA">
          <w:rPr>
            <w:noProof/>
            <w:webHidden/>
          </w:rPr>
          <w:t>6</w:t>
        </w:r>
        <w:r w:rsidR="00D2055F">
          <w:rPr>
            <w:noProof/>
            <w:webHidden/>
          </w:rPr>
          <w:fldChar w:fldCharType="end"/>
        </w:r>
      </w:hyperlink>
    </w:p>
    <w:p w14:paraId="4A0C9A41" w14:textId="77777777" w:rsidR="00D2055F" w:rsidRDefault="0017543F">
      <w:pPr>
        <w:pStyle w:val="TDC1"/>
        <w:rPr>
          <w:rFonts w:asciiTheme="minorHAnsi" w:eastAsiaTheme="minorEastAsia" w:hAnsiTheme="minorHAnsi" w:cstheme="minorBidi"/>
          <w:noProof/>
          <w:lang w:eastAsia="es-ES"/>
        </w:rPr>
      </w:pPr>
      <w:hyperlink w:anchor="_Toc132510937" w:history="1">
        <w:r w:rsidR="00D2055F" w:rsidRPr="00947A5F">
          <w:rPr>
            <w:rStyle w:val="Hipervnculo"/>
            <w:rFonts w:cs="Calibri"/>
            <w:b/>
            <w:bCs/>
            <w:noProof/>
          </w:rPr>
          <w:t>ALEGACIÓN 1.-</w:t>
        </w:r>
        <w:r w:rsidR="00D2055F">
          <w:rPr>
            <w:rFonts w:asciiTheme="minorHAnsi" w:eastAsiaTheme="minorEastAsia" w:hAnsiTheme="minorHAnsi" w:cstheme="minorBidi"/>
            <w:noProof/>
            <w:lang w:eastAsia="es-ES"/>
          </w:rPr>
          <w:tab/>
        </w:r>
        <w:r w:rsidR="00D2055F" w:rsidRPr="00947A5F">
          <w:rPr>
            <w:rStyle w:val="Hipervnculo"/>
            <w:rFonts w:cs="Calibri"/>
            <w:b/>
            <w:bCs/>
            <w:noProof/>
          </w:rPr>
          <w:t>O EsIA non pode consultarse co software Adobe Acrobat sen a instalación dun plug in obsoleto (Flash Player) e retirado por ser fonte de virus e malware.</w:t>
        </w:r>
        <w:r w:rsidR="00D2055F">
          <w:rPr>
            <w:noProof/>
            <w:webHidden/>
          </w:rPr>
          <w:tab/>
        </w:r>
        <w:r w:rsidR="00D2055F">
          <w:rPr>
            <w:noProof/>
            <w:webHidden/>
          </w:rPr>
          <w:fldChar w:fldCharType="begin"/>
        </w:r>
        <w:r w:rsidR="00D2055F">
          <w:rPr>
            <w:noProof/>
            <w:webHidden/>
          </w:rPr>
          <w:instrText xml:space="preserve"> PAGEREF _Toc132510937 \h </w:instrText>
        </w:r>
        <w:r w:rsidR="00D2055F">
          <w:rPr>
            <w:noProof/>
            <w:webHidden/>
          </w:rPr>
        </w:r>
        <w:r w:rsidR="00D2055F">
          <w:rPr>
            <w:noProof/>
            <w:webHidden/>
          </w:rPr>
          <w:fldChar w:fldCharType="separate"/>
        </w:r>
        <w:r w:rsidR="00421DFA">
          <w:rPr>
            <w:noProof/>
            <w:webHidden/>
          </w:rPr>
          <w:t>7</w:t>
        </w:r>
        <w:r w:rsidR="00D2055F">
          <w:rPr>
            <w:noProof/>
            <w:webHidden/>
          </w:rPr>
          <w:fldChar w:fldCharType="end"/>
        </w:r>
      </w:hyperlink>
    </w:p>
    <w:p w14:paraId="6086864E" w14:textId="77777777" w:rsidR="00D2055F" w:rsidRDefault="0017543F">
      <w:pPr>
        <w:pStyle w:val="TDC1"/>
        <w:rPr>
          <w:rFonts w:asciiTheme="minorHAnsi" w:eastAsiaTheme="minorEastAsia" w:hAnsiTheme="minorHAnsi" w:cstheme="minorBidi"/>
          <w:noProof/>
          <w:lang w:eastAsia="es-ES"/>
        </w:rPr>
      </w:pPr>
      <w:hyperlink w:anchor="_Toc132510938" w:history="1">
        <w:r w:rsidR="00D2055F" w:rsidRPr="00947A5F">
          <w:rPr>
            <w:rStyle w:val="Hipervnculo"/>
            <w:rFonts w:cs="Calibri"/>
            <w:b/>
            <w:bCs/>
            <w:noProof/>
          </w:rPr>
          <w:t>ALEGACIÓN 2.-</w:t>
        </w:r>
        <w:r w:rsidR="00D2055F">
          <w:rPr>
            <w:rFonts w:asciiTheme="minorHAnsi" w:eastAsiaTheme="minorEastAsia" w:hAnsiTheme="minorHAnsi" w:cstheme="minorBidi"/>
            <w:noProof/>
            <w:lang w:eastAsia="es-ES"/>
          </w:rPr>
          <w:tab/>
        </w:r>
        <w:r w:rsidR="00D2055F" w:rsidRPr="00947A5F">
          <w:rPr>
            <w:rStyle w:val="Hipervnculo"/>
            <w:rFonts w:cs="Calibri"/>
            <w:b/>
            <w:bCs/>
            <w:noProof/>
          </w:rPr>
          <w:t>Falla de xustificación da necesidade do despliegue eólico actual e o previsto.</w:t>
        </w:r>
        <w:r w:rsidR="00D2055F">
          <w:rPr>
            <w:noProof/>
            <w:webHidden/>
          </w:rPr>
          <w:tab/>
        </w:r>
        <w:r w:rsidR="00D2055F">
          <w:rPr>
            <w:noProof/>
            <w:webHidden/>
          </w:rPr>
          <w:fldChar w:fldCharType="begin"/>
        </w:r>
        <w:r w:rsidR="00D2055F">
          <w:rPr>
            <w:noProof/>
            <w:webHidden/>
          </w:rPr>
          <w:instrText xml:space="preserve"> PAGEREF _Toc132510938 \h </w:instrText>
        </w:r>
        <w:r w:rsidR="00D2055F">
          <w:rPr>
            <w:noProof/>
            <w:webHidden/>
          </w:rPr>
        </w:r>
        <w:r w:rsidR="00D2055F">
          <w:rPr>
            <w:noProof/>
            <w:webHidden/>
          </w:rPr>
          <w:fldChar w:fldCharType="separate"/>
        </w:r>
        <w:r w:rsidR="00421DFA">
          <w:rPr>
            <w:noProof/>
            <w:webHidden/>
          </w:rPr>
          <w:t>8</w:t>
        </w:r>
        <w:r w:rsidR="00D2055F">
          <w:rPr>
            <w:noProof/>
            <w:webHidden/>
          </w:rPr>
          <w:fldChar w:fldCharType="end"/>
        </w:r>
      </w:hyperlink>
    </w:p>
    <w:p w14:paraId="23DB3E3F" w14:textId="77777777" w:rsidR="00D2055F" w:rsidRDefault="0017543F">
      <w:pPr>
        <w:pStyle w:val="TDC1"/>
        <w:rPr>
          <w:rFonts w:asciiTheme="minorHAnsi" w:eastAsiaTheme="minorEastAsia" w:hAnsiTheme="minorHAnsi" w:cstheme="minorBidi"/>
          <w:noProof/>
          <w:lang w:eastAsia="es-ES"/>
        </w:rPr>
      </w:pPr>
      <w:hyperlink w:anchor="_Toc132510939" w:history="1">
        <w:r w:rsidR="00D2055F" w:rsidRPr="00947A5F">
          <w:rPr>
            <w:rStyle w:val="Hipervnculo"/>
            <w:rFonts w:cs="Calibri"/>
            <w:b/>
            <w:noProof/>
          </w:rPr>
          <w:t>ALEGACIÓN 3.-</w:t>
        </w:r>
        <w:r w:rsidR="00D2055F">
          <w:rPr>
            <w:rFonts w:asciiTheme="minorHAnsi" w:eastAsiaTheme="minorEastAsia" w:hAnsiTheme="minorHAnsi" w:cstheme="minorBidi"/>
            <w:noProof/>
            <w:lang w:eastAsia="es-ES"/>
          </w:rPr>
          <w:tab/>
        </w:r>
        <w:r w:rsidR="00D2055F" w:rsidRPr="00947A5F">
          <w:rPr>
            <w:rStyle w:val="Hipervnculo"/>
            <w:rFonts w:cs="Calibri"/>
            <w:b/>
            <w:noProof/>
          </w:rPr>
          <w:t xml:space="preserve">O Plan Sectorial Eólico </w:t>
        </w:r>
        <w:r w:rsidR="00D2055F" w:rsidRPr="00947A5F">
          <w:rPr>
            <w:rStyle w:val="Hipervnculo"/>
            <w:rFonts w:cs="Calibri"/>
            <w:b/>
            <w:iCs/>
            <w:noProof/>
          </w:rPr>
          <w:t>Galego</w:t>
        </w:r>
        <w:r w:rsidR="00D2055F" w:rsidRPr="00947A5F">
          <w:rPr>
            <w:rStyle w:val="Hipervnculo"/>
            <w:rFonts w:cs="Calibri"/>
            <w:b/>
            <w:noProof/>
          </w:rPr>
          <w:t xml:space="preserve"> carece de estudio ambiental</w:t>
        </w:r>
        <w:r w:rsidR="00D2055F">
          <w:rPr>
            <w:noProof/>
            <w:webHidden/>
          </w:rPr>
          <w:tab/>
        </w:r>
        <w:r w:rsidR="00D2055F">
          <w:rPr>
            <w:noProof/>
            <w:webHidden/>
          </w:rPr>
          <w:fldChar w:fldCharType="begin"/>
        </w:r>
        <w:r w:rsidR="00D2055F">
          <w:rPr>
            <w:noProof/>
            <w:webHidden/>
          </w:rPr>
          <w:instrText xml:space="preserve"> PAGEREF _Toc132510939 \h </w:instrText>
        </w:r>
        <w:r w:rsidR="00D2055F">
          <w:rPr>
            <w:noProof/>
            <w:webHidden/>
          </w:rPr>
        </w:r>
        <w:r w:rsidR="00D2055F">
          <w:rPr>
            <w:noProof/>
            <w:webHidden/>
          </w:rPr>
          <w:fldChar w:fldCharType="separate"/>
        </w:r>
        <w:r w:rsidR="00421DFA">
          <w:rPr>
            <w:noProof/>
            <w:webHidden/>
          </w:rPr>
          <w:t>10</w:t>
        </w:r>
        <w:r w:rsidR="00D2055F">
          <w:rPr>
            <w:noProof/>
            <w:webHidden/>
          </w:rPr>
          <w:fldChar w:fldCharType="end"/>
        </w:r>
      </w:hyperlink>
    </w:p>
    <w:p w14:paraId="2CEFBD8C" w14:textId="77777777" w:rsidR="00D2055F" w:rsidRDefault="0017543F">
      <w:pPr>
        <w:pStyle w:val="TDC1"/>
        <w:rPr>
          <w:rFonts w:asciiTheme="minorHAnsi" w:eastAsiaTheme="minorEastAsia" w:hAnsiTheme="minorHAnsi" w:cstheme="minorBidi"/>
          <w:noProof/>
          <w:lang w:eastAsia="es-ES"/>
        </w:rPr>
      </w:pPr>
      <w:hyperlink w:anchor="_Toc132510940" w:history="1">
        <w:r w:rsidR="00D2055F" w:rsidRPr="00947A5F">
          <w:rPr>
            <w:rStyle w:val="Hipervnculo"/>
            <w:rFonts w:cs="Calibri"/>
            <w:b/>
            <w:bCs/>
            <w:noProof/>
          </w:rPr>
          <w:t>ALEGACIÓN 4.-</w:t>
        </w:r>
        <w:r w:rsidR="00D2055F">
          <w:rPr>
            <w:rFonts w:asciiTheme="minorHAnsi" w:eastAsiaTheme="minorEastAsia" w:hAnsiTheme="minorHAnsi" w:cstheme="minorBidi"/>
            <w:noProof/>
            <w:lang w:eastAsia="es-ES"/>
          </w:rPr>
          <w:tab/>
        </w:r>
        <w:r w:rsidR="00D2055F" w:rsidRPr="00947A5F">
          <w:rPr>
            <w:rStyle w:val="Hipervnculo"/>
            <w:rFonts w:cs="Calibri"/>
            <w:b/>
            <w:bCs/>
            <w:noProof/>
          </w:rPr>
          <w:t xml:space="preserve">Falla da preceptiva </w:t>
        </w:r>
        <w:r w:rsidR="00D2055F" w:rsidRPr="00947A5F">
          <w:rPr>
            <w:rStyle w:val="Hipervnculo"/>
            <w:rFonts w:cs="Calibri"/>
            <w:b/>
            <w:bCs/>
            <w:iCs/>
            <w:noProof/>
          </w:rPr>
          <w:t>publicación</w:t>
        </w:r>
        <w:r w:rsidR="00D2055F" w:rsidRPr="00947A5F">
          <w:rPr>
            <w:rStyle w:val="Hipervnculo"/>
            <w:rFonts w:cs="Calibri"/>
            <w:b/>
            <w:bCs/>
            <w:noProof/>
          </w:rPr>
          <w:t xml:space="preserve"> do anuncio de exposición a información pública do proxecto no BOE</w:t>
        </w:r>
        <w:r w:rsidR="00D2055F">
          <w:rPr>
            <w:noProof/>
            <w:webHidden/>
          </w:rPr>
          <w:tab/>
        </w:r>
        <w:r w:rsidR="00D2055F">
          <w:rPr>
            <w:noProof/>
            <w:webHidden/>
          </w:rPr>
          <w:fldChar w:fldCharType="begin"/>
        </w:r>
        <w:r w:rsidR="00D2055F">
          <w:rPr>
            <w:noProof/>
            <w:webHidden/>
          </w:rPr>
          <w:instrText xml:space="preserve"> PAGEREF _Toc132510940 \h </w:instrText>
        </w:r>
        <w:r w:rsidR="00D2055F">
          <w:rPr>
            <w:noProof/>
            <w:webHidden/>
          </w:rPr>
        </w:r>
        <w:r w:rsidR="00D2055F">
          <w:rPr>
            <w:noProof/>
            <w:webHidden/>
          </w:rPr>
          <w:fldChar w:fldCharType="separate"/>
        </w:r>
        <w:r w:rsidR="00421DFA">
          <w:rPr>
            <w:noProof/>
            <w:webHidden/>
          </w:rPr>
          <w:t>15</w:t>
        </w:r>
        <w:r w:rsidR="00D2055F">
          <w:rPr>
            <w:noProof/>
            <w:webHidden/>
          </w:rPr>
          <w:fldChar w:fldCharType="end"/>
        </w:r>
      </w:hyperlink>
    </w:p>
    <w:p w14:paraId="0447625B" w14:textId="77777777" w:rsidR="00D2055F" w:rsidRDefault="0017543F">
      <w:pPr>
        <w:pStyle w:val="TDC1"/>
        <w:rPr>
          <w:rFonts w:asciiTheme="minorHAnsi" w:eastAsiaTheme="minorEastAsia" w:hAnsiTheme="minorHAnsi" w:cstheme="minorBidi"/>
          <w:noProof/>
          <w:lang w:eastAsia="es-ES"/>
        </w:rPr>
      </w:pPr>
      <w:hyperlink w:anchor="_Toc132510941" w:history="1">
        <w:r w:rsidR="00D2055F" w:rsidRPr="00947A5F">
          <w:rPr>
            <w:rStyle w:val="Hipervnculo"/>
            <w:rFonts w:cs="Calibri"/>
            <w:b/>
            <w:noProof/>
          </w:rPr>
          <w:t>ALEGACIÓN 5.-</w:t>
        </w:r>
        <w:r w:rsidR="00D2055F">
          <w:rPr>
            <w:rFonts w:asciiTheme="minorHAnsi" w:eastAsiaTheme="minorEastAsia" w:hAnsiTheme="minorHAnsi" w:cstheme="minorBidi"/>
            <w:noProof/>
            <w:lang w:eastAsia="es-ES"/>
          </w:rPr>
          <w:tab/>
        </w:r>
        <w:r w:rsidR="00D2055F" w:rsidRPr="00947A5F">
          <w:rPr>
            <w:rStyle w:val="Hipervnculo"/>
            <w:rFonts w:cs="Calibri"/>
            <w:b/>
            <w:noProof/>
          </w:rPr>
          <w:t>O intento de utilización da Lei 9/2021 para deslexitimizar a lexislación medioambiental é ilegal.</w:t>
        </w:r>
        <w:r w:rsidR="00D2055F">
          <w:rPr>
            <w:noProof/>
            <w:webHidden/>
          </w:rPr>
          <w:tab/>
        </w:r>
        <w:r w:rsidR="00D2055F">
          <w:rPr>
            <w:noProof/>
            <w:webHidden/>
          </w:rPr>
          <w:fldChar w:fldCharType="begin"/>
        </w:r>
        <w:r w:rsidR="00D2055F">
          <w:rPr>
            <w:noProof/>
            <w:webHidden/>
          </w:rPr>
          <w:instrText xml:space="preserve"> PAGEREF _Toc132510941 \h </w:instrText>
        </w:r>
        <w:r w:rsidR="00D2055F">
          <w:rPr>
            <w:noProof/>
            <w:webHidden/>
          </w:rPr>
        </w:r>
        <w:r w:rsidR="00D2055F">
          <w:rPr>
            <w:noProof/>
            <w:webHidden/>
          </w:rPr>
          <w:fldChar w:fldCharType="separate"/>
        </w:r>
        <w:r w:rsidR="00421DFA">
          <w:rPr>
            <w:noProof/>
            <w:webHidden/>
          </w:rPr>
          <w:t>15</w:t>
        </w:r>
        <w:r w:rsidR="00D2055F">
          <w:rPr>
            <w:noProof/>
            <w:webHidden/>
          </w:rPr>
          <w:fldChar w:fldCharType="end"/>
        </w:r>
      </w:hyperlink>
    </w:p>
    <w:p w14:paraId="4194DCE7" w14:textId="77777777" w:rsidR="00D2055F" w:rsidRDefault="0017543F">
      <w:pPr>
        <w:pStyle w:val="TDC1"/>
        <w:rPr>
          <w:rFonts w:asciiTheme="minorHAnsi" w:eastAsiaTheme="minorEastAsia" w:hAnsiTheme="minorHAnsi" w:cstheme="minorBidi"/>
          <w:noProof/>
          <w:lang w:eastAsia="es-ES"/>
        </w:rPr>
      </w:pPr>
      <w:hyperlink w:anchor="_Toc132510942" w:history="1">
        <w:r w:rsidR="00D2055F" w:rsidRPr="00947A5F">
          <w:rPr>
            <w:rStyle w:val="Hipervnculo"/>
            <w:rFonts w:cs="Calibri"/>
            <w:b/>
            <w:bCs/>
            <w:noProof/>
          </w:rPr>
          <w:t>ALEGACIÓN 6.-</w:t>
        </w:r>
        <w:r w:rsidR="00D2055F">
          <w:rPr>
            <w:rFonts w:asciiTheme="minorHAnsi" w:eastAsiaTheme="minorEastAsia" w:hAnsiTheme="minorHAnsi" w:cstheme="minorBidi"/>
            <w:noProof/>
            <w:lang w:eastAsia="es-ES"/>
          </w:rPr>
          <w:tab/>
        </w:r>
        <w:r w:rsidR="00D2055F" w:rsidRPr="00947A5F">
          <w:rPr>
            <w:rStyle w:val="Hipervnculo"/>
            <w:rFonts w:cs="Calibri"/>
            <w:b/>
            <w:bCs/>
            <w:noProof/>
          </w:rPr>
          <w:t>O artigo 59 da Lei 7/</w:t>
        </w:r>
        <w:r w:rsidR="00D2055F" w:rsidRPr="00947A5F">
          <w:rPr>
            <w:rStyle w:val="Hipervnculo"/>
            <w:rFonts w:cs="Calibri"/>
            <w:b/>
            <w:bCs/>
            <w:iCs/>
            <w:noProof/>
          </w:rPr>
          <w:t>2012</w:t>
        </w:r>
        <w:r w:rsidR="00D2055F" w:rsidRPr="00947A5F">
          <w:rPr>
            <w:rStyle w:val="Hipervnculo"/>
            <w:rFonts w:cs="Calibri"/>
            <w:b/>
            <w:bCs/>
            <w:noProof/>
          </w:rPr>
          <w:t>, de 28 de xuño, de montes de Galicia prohíbe o cambio de uso forestal dos terreos queimados, por 30 anos.</w:t>
        </w:r>
        <w:r w:rsidR="00D2055F">
          <w:rPr>
            <w:noProof/>
            <w:webHidden/>
          </w:rPr>
          <w:tab/>
        </w:r>
        <w:r w:rsidR="00D2055F">
          <w:rPr>
            <w:noProof/>
            <w:webHidden/>
          </w:rPr>
          <w:fldChar w:fldCharType="begin"/>
        </w:r>
        <w:r w:rsidR="00D2055F">
          <w:rPr>
            <w:noProof/>
            <w:webHidden/>
          </w:rPr>
          <w:instrText xml:space="preserve"> PAGEREF _Toc132510942 \h </w:instrText>
        </w:r>
        <w:r w:rsidR="00D2055F">
          <w:rPr>
            <w:noProof/>
            <w:webHidden/>
          </w:rPr>
        </w:r>
        <w:r w:rsidR="00D2055F">
          <w:rPr>
            <w:noProof/>
            <w:webHidden/>
          </w:rPr>
          <w:fldChar w:fldCharType="separate"/>
        </w:r>
        <w:r w:rsidR="00421DFA">
          <w:rPr>
            <w:noProof/>
            <w:webHidden/>
          </w:rPr>
          <w:t>18</w:t>
        </w:r>
        <w:r w:rsidR="00D2055F">
          <w:rPr>
            <w:noProof/>
            <w:webHidden/>
          </w:rPr>
          <w:fldChar w:fldCharType="end"/>
        </w:r>
      </w:hyperlink>
    </w:p>
    <w:p w14:paraId="06EB6B54" w14:textId="77777777" w:rsidR="00D2055F" w:rsidRDefault="0017543F">
      <w:pPr>
        <w:pStyle w:val="TDC1"/>
        <w:rPr>
          <w:rFonts w:asciiTheme="minorHAnsi" w:eastAsiaTheme="minorEastAsia" w:hAnsiTheme="minorHAnsi" w:cstheme="minorBidi"/>
          <w:noProof/>
          <w:lang w:eastAsia="es-ES"/>
        </w:rPr>
      </w:pPr>
      <w:hyperlink w:anchor="_Toc132510943" w:history="1">
        <w:r w:rsidR="00D2055F" w:rsidRPr="00947A5F">
          <w:rPr>
            <w:rStyle w:val="Hipervnculo"/>
            <w:rFonts w:cs="Calibri"/>
            <w:b/>
            <w:noProof/>
          </w:rPr>
          <w:t>ALEGACIÓN 7.-</w:t>
        </w:r>
        <w:r w:rsidR="00D2055F">
          <w:rPr>
            <w:rFonts w:asciiTheme="minorHAnsi" w:eastAsiaTheme="minorEastAsia" w:hAnsiTheme="minorHAnsi" w:cstheme="minorBidi"/>
            <w:noProof/>
            <w:lang w:eastAsia="es-ES"/>
          </w:rPr>
          <w:tab/>
        </w:r>
        <w:r w:rsidR="00D2055F" w:rsidRPr="00947A5F">
          <w:rPr>
            <w:rStyle w:val="Hipervnculo"/>
            <w:rFonts w:cs="Calibri"/>
            <w:b/>
            <w:noProof/>
          </w:rPr>
          <w:t xml:space="preserve">O desfase </w:t>
        </w:r>
        <w:r w:rsidR="00D2055F" w:rsidRPr="00947A5F">
          <w:rPr>
            <w:rStyle w:val="Hipervnculo"/>
            <w:rFonts w:cs="Calibri"/>
            <w:b/>
            <w:iCs/>
            <w:noProof/>
          </w:rPr>
          <w:t>temporal</w:t>
        </w:r>
        <w:r w:rsidR="00D2055F" w:rsidRPr="00947A5F">
          <w:rPr>
            <w:rStyle w:val="Hipervnculo"/>
            <w:rFonts w:cs="Calibri"/>
            <w:b/>
            <w:noProof/>
          </w:rPr>
          <w:t xml:space="preserve"> entre a realización do proxecto e o EsIA (13 meses), converte a éste último en inútil, e deslexitima toda a tramitación ambiental.</w:t>
        </w:r>
        <w:r w:rsidR="00D2055F">
          <w:rPr>
            <w:noProof/>
            <w:webHidden/>
          </w:rPr>
          <w:tab/>
        </w:r>
        <w:r w:rsidR="00D2055F">
          <w:rPr>
            <w:noProof/>
            <w:webHidden/>
          </w:rPr>
          <w:fldChar w:fldCharType="begin"/>
        </w:r>
        <w:r w:rsidR="00D2055F">
          <w:rPr>
            <w:noProof/>
            <w:webHidden/>
          </w:rPr>
          <w:instrText xml:space="preserve"> PAGEREF _Toc132510943 \h </w:instrText>
        </w:r>
        <w:r w:rsidR="00D2055F">
          <w:rPr>
            <w:noProof/>
            <w:webHidden/>
          </w:rPr>
        </w:r>
        <w:r w:rsidR="00D2055F">
          <w:rPr>
            <w:noProof/>
            <w:webHidden/>
          </w:rPr>
          <w:fldChar w:fldCharType="separate"/>
        </w:r>
        <w:r w:rsidR="00421DFA">
          <w:rPr>
            <w:noProof/>
            <w:webHidden/>
          </w:rPr>
          <w:t>18</w:t>
        </w:r>
        <w:r w:rsidR="00D2055F">
          <w:rPr>
            <w:noProof/>
            <w:webHidden/>
          </w:rPr>
          <w:fldChar w:fldCharType="end"/>
        </w:r>
      </w:hyperlink>
    </w:p>
    <w:p w14:paraId="10812E17" w14:textId="77777777" w:rsidR="00D2055F" w:rsidRDefault="0017543F">
      <w:pPr>
        <w:pStyle w:val="TDC1"/>
        <w:rPr>
          <w:rFonts w:asciiTheme="minorHAnsi" w:eastAsiaTheme="minorEastAsia" w:hAnsiTheme="minorHAnsi" w:cstheme="minorBidi"/>
          <w:noProof/>
          <w:lang w:eastAsia="es-ES"/>
        </w:rPr>
      </w:pPr>
      <w:hyperlink w:anchor="_Toc132510944" w:history="1">
        <w:r w:rsidR="00D2055F" w:rsidRPr="00947A5F">
          <w:rPr>
            <w:rStyle w:val="Hipervnculo"/>
            <w:rFonts w:cs="Calibri"/>
            <w:b/>
            <w:noProof/>
          </w:rPr>
          <w:t>ALEGACIÓN 8.-</w:t>
        </w:r>
        <w:r w:rsidR="00D2055F">
          <w:rPr>
            <w:rFonts w:asciiTheme="minorHAnsi" w:eastAsiaTheme="minorEastAsia" w:hAnsiTheme="minorHAnsi" w:cstheme="minorBidi"/>
            <w:noProof/>
            <w:lang w:eastAsia="es-ES"/>
          </w:rPr>
          <w:tab/>
        </w:r>
        <w:r w:rsidR="00D2055F" w:rsidRPr="00947A5F">
          <w:rPr>
            <w:rStyle w:val="Hipervnculo"/>
            <w:rFonts w:cs="Calibri"/>
            <w:b/>
            <w:noProof/>
          </w:rPr>
          <w:t>A chamada Avaliación de Alternativas do Proxecto, transgrede o Principio de Integración Ambiental, a Directiva 2111/92/UE, de Avaliación de Impacto Ambiental, a Lei 21/2013 de Avaliación Ambiental, a boa práctica e a racionalidade.</w:t>
        </w:r>
        <w:r w:rsidR="00D2055F">
          <w:rPr>
            <w:noProof/>
            <w:webHidden/>
          </w:rPr>
          <w:tab/>
        </w:r>
        <w:r w:rsidR="00D2055F">
          <w:rPr>
            <w:noProof/>
            <w:webHidden/>
          </w:rPr>
          <w:fldChar w:fldCharType="begin"/>
        </w:r>
        <w:r w:rsidR="00D2055F">
          <w:rPr>
            <w:noProof/>
            <w:webHidden/>
          </w:rPr>
          <w:instrText xml:space="preserve"> PAGEREF _Toc132510944 \h </w:instrText>
        </w:r>
        <w:r w:rsidR="00D2055F">
          <w:rPr>
            <w:noProof/>
            <w:webHidden/>
          </w:rPr>
        </w:r>
        <w:r w:rsidR="00D2055F">
          <w:rPr>
            <w:noProof/>
            <w:webHidden/>
          </w:rPr>
          <w:fldChar w:fldCharType="separate"/>
        </w:r>
        <w:r w:rsidR="00421DFA">
          <w:rPr>
            <w:noProof/>
            <w:webHidden/>
          </w:rPr>
          <w:t>19</w:t>
        </w:r>
        <w:r w:rsidR="00D2055F">
          <w:rPr>
            <w:noProof/>
            <w:webHidden/>
          </w:rPr>
          <w:fldChar w:fldCharType="end"/>
        </w:r>
      </w:hyperlink>
    </w:p>
    <w:p w14:paraId="46D1E127" w14:textId="77777777" w:rsidR="00D2055F" w:rsidRDefault="0017543F">
      <w:pPr>
        <w:pStyle w:val="TDC1"/>
        <w:rPr>
          <w:rFonts w:asciiTheme="minorHAnsi" w:eastAsiaTheme="minorEastAsia" w:hAnsiTheme="minorHAnsi" w:cstheme="minorBidi"/>
          <w:noProof/>
          <w:lang w:eastAsia="es-ES"/>
        </w:rPr>
      </w:pPr>
      <w:hyperlink w:anchor="_Toc132510945" w:history="1">
        <w:r w:rsidR="00D2055F" w:rsidRPr="00947A5F">
          <w:rPr>
            <w:rStyle w:val="Hipervnculo"/>
            <w:rFonts w:cs="Calibri"/>
            <w:b/>
            <w:noProof/>
          </w:rPr>
          <w:t>ALEGACIÓN 9.-</w:t>
        </w:r>
        <w:r w:rsidR="00D2055F">
          <w:rPr>
            <w:rFonts w:asciiTheme="minorHAnsi" w:eastAsiaTheme="minorEastAsia" w:hAnsiTheme="minorHAnsi" w:cstheme="minorBidi"/>
            <w:noProof/>
            <w:lang w:eastAsia="es-ES"/>
          </w:rPr>
          <w:tab/>
        </w:r>
        <w:r w:rsidR="00D2055F" w:rsidRPr="00947A5F">
          <w:rPr>
            <w:rStyle w:val="Hipervnculo"/>
            <w:rFonts w:cs="Calibri"/>
            <w:b/>
            <w:noProof/>
          </w:rPr>
          <w:t>O parque eólico Torroña I é incompatible co Planeamento Urbanístico.</w:t>
        </w:r>
        <w:r w:rsidR="00D2055F">
          <w:rPr>
            <w:noProof/>
            <w:webHidden/>
          </w:rPr>
          <w:tab/>
        </w:r>
        <w:r w:rsidR="00D2055F">
          <w:rPr>
            <w:noProof/>
            <w:webHidden/>
          </w:rPr>
          <w:fldChar w:fldCharType="begin"/>
        </w:r>
        <w:r w:rsidR="00D2055F">
          <w:rPr>
            <w:noProof/>
            <w:webHidden/>
          </w:rPr>
          <w:instrText xml:space="preserve"> PAGEREF _Toc132510945 \h </w:instrText>
        </w:r>
        <w:r w:rsidR="00D2055F">
          <w:rPr>
            <w:noProof/>
            <w:webHidden/>
          </w:rPr>
        </w:r>
        <w:r w:rsidR="00D2055F">
          <w:rPr>
            <w:noProof/>
            <w:webHidden/>
          </w:rPr>
          <w:fldChar w:fldCharType="separate"/>
        </w:r>
        <w:r w:rsidR="00421DFA">
          <w:rPr>
            <w:noProof/>
            <w:webHidden/>
          </w:rPr>
          <w:t>22</w:t>
        </w:r>
        <w:r w:rsidR="00D2055F">
          <w:rPr>
            <w:noProof/>
            <w:webHidden/>
          </w:rPr>
          <w:fldChar w:fldCharType="end"/>
        </w:r>
      </w:hyperlink>
    </w:p>
    <w:p w14:paraId="7CB762DD" w14:textId="77777777" w:rsidR="00D2055F" w:rsidRDefault="0017543F">
      <w:pPr>
        <w:pStyle w:val="TDC1"/>
        <w:rPr>
          <w:rFonts w:asciiTheme="minorHAnsi" w:eastAsiaTheme="minorEastAsia" w:hAnsiTheme="minorHAnsi" w:cstheme="minorBidi"/>
          <w:noProof/>
          <w:lang w:eastAsia="es-ES"/>
        </w:rPr>
      </w:pPr>
      <w:hyperlink w:anchor="_Toc132510946" w:history="1">
        <w:r w:rsidR="00D2055F" w:rsidRPr="00947A5F">
          <w:rPr>
            <w:rStyle w:val="Hipervnculo"/>
            <w:rFonts w:cs="Calibri"/>
            <w:b/>
            <w:bCs/>
            <w:noProof/>
          </w:rPr>
          <w:t>ALEGACIÓN 10.-</w:t>
        </w:r>
        <w:r w:rsidR="00D2055F">
          <w:rPr>
            <w:rFonts w:asciiTheme="minorHAnsi" w:eastAsiaTheme="minorEastAsia" w:hAnsiTheme="minorHAnsi" w:cstheme="minorBidi"/>
            <w:noProof/>
            <w:lang w:eastAsia="es-ES"/>
          </w:rPr>
          <w:tab/>
        </w:r>
        <w:r w:rsidR="00D2055F" w:rsidRPr="00947A5F">
          <w:rPr>
            <w:rStyle w:val="Hipervnculo"/>
            <w:rFonts w:cs="Calibri"/>
            <w:b/>
            <w:bCs/>
            <w:noProof/>
          </w:rPr>
          <w:t>O Parque Eólico Torroña I ocupa a ampliación da Rede Natura 2000 proposta no ano 2011 (ES1140018)</w:t>
        </w:r>
        <w:r w:rsidR="00D2055F">
          <w:rPr>
            <w:noProof/>
            <w:webHidden/>
          </w:rPr>
          <w:tab/>
        </w:r>
        <w:r w:rsidR="00D2055F">
          <w:rPr>
            <w:noProof/>
            <w:webHidden/>
          </w:rPr>
          <w:fldChar w:fldCharType="begin"/>
        </w:r>
        <w:r w:rsidR="00D2055F">
          <w:rPr>
            <w:noProof/>
            <w:webHidden/>
          </w:rPr>
          <w:instrText xml:space="preserve"> PAGEREF _Toc132510946 \h </w:instrText>
        </w:r>
        <w:r w:rsidR="00D2055F">
          <w:rPr>
            <w:noProof/>
            <w:webHidden/>
          </w:rPr>
        </w:r>
        <w:r w:rsidR="00D2055F">
          <w:rPr>
            <w:noProof/>
            <w:webHidden/>
          </w:rPr>
          <w:fldChar w:fldCharType="separate"/>
        </w:r>
        <w:r w:rsidR="00421DFA">
          <w:rPr>
            <w:noProof/>
            <w:webHidden/>
          </w:rPr>
          <w:t>23</w:t>
        </w:r>
        <w:r w:rsidR="00D2055F">
          <w:rPr>
            <w:noProof/>
            <w:webHidden/>
          </w:rPr>
          <w:fldChar w:fldCharType="end"/>
        </w:r>
      </w:hyperlink>
    </w:p>
    <w:p w14:paraId="2258C65A" w14:textId="77777777" w:rsidR="00D2055F" w:rsidRDefault="0017543F">
      <w:pPr>
        <w:pStyle w:val="TDC1"/>
        <w:rPr>
          <w:rFonts w:asciiTheme="minorHAnsi" w:eastAsiaTheme="minorEastAsia" w:hAnsiTheme="minorHAnsi" w:cstheme="minorBidi"/>
          <w:noProof/>
          <w:lang w:eastAsia="es-ES"/>
        </w:rPr>
      </w:pPr>
      <w:hyperlink w:anchor="_Toc132510947" w:history="1">
        <w:r w:rsidR="00D2055F" w:rsidRPr="00947A5F">
          <w:rPr>
            <w:rStyle w:val="Hipervnculo"/>
            <w:rFonts w:cs="Calibri"/>
            <w:b/>
            <w:bCs/>
            <w:noProof/>
          </w:rPr>
          <w:t>ALEGACIÓN 11.-</w:t>
        </w:r>
        <w:r w:rsidR="00D2055F">
          <w:rPr>
            <w:rFonts w:asciiTheme="minorHAnsi" w:eastAsiaTheme="minorEastAsia" w:hAnsiTheme="minorHAnsi" w:cstheme="minorBidi"/>
            <w:noProof/>
            <w:lang w:eastAsia="es-ES"/>
          </w:rPr>
          <w:tab/>
        </w:r>
        <w:r w:rsidR="00D2055F" w:rsidRPr="00947A5F">
          <w:rPr>
            <w:rStyle w:val="Hipervnculo"/>
            <w:rFonts w:cs="Calibri"/>
            <w:b/>
            <w:bCs/>
            <w:noProof/>
          </w:rPr>
          <w:t>Non consta estudio do grao de aceptación do proxecto polos concellos afectados nin pola poboación.</w:t>
        </w:r>
        <w:r w:rsidR="00D2055F">
          <w:rPr>
            <w:noProof/>
            <w:webHidden/>
          </w:rPr>
          <w:tab/>
        </w:r>
        <w:r w:rsidR="00D2055F">
          <w:rPr>
            <w:noProof/>
            <w:webHidden/>
          </w:rPr>
          <w:fldChar w:fldCharType="begin"/>
        </w:r>
        <w:r w:rsidR="00D2055F">
          <w:rPr>
            <w:noProof/>
            <w:webHidden/>
          </w:rPr>
          <w:instrText xml:space="preserve"> PAGEREF _Toc132510947 \h </w:instrText>
        </w:r>
        <w:r w:rsidR="00D2055F">
          <w:rPr>
            <w:noProof/>
            <w:webHidden/>
          </w:rPr>
        </w:r>
        <w:r w:rsidR="00D2055F">
          <w:rPr>
            <w:noProof/>
            <w:webHidden/>
          </w:rPr>
          <w:fldChar w:fldCharType="separate"/>
        </w:r>
        <w:r w:rsidR="00421DFA">
          <w:rPr>
            <w:noProof/>
            <w:webHidden/>
          </w:rPr>
          <w:t>23</w:t>
        </w:r>
        <w:r w:rsidR="00D2055F">
          <w:rPr>
            <w:noProof/>
            <w:webHidden/>
          </w:rPr>
          <w:fldChar w:fldCharType="end"/>
        </w:r>
      </w:hyperlink>
    </w:p>
    <w:p w14:paraId="42BE2D28" w14:textId="77777777" w:rsidR="00D2055F" w:rsidRDefault="0017543F">
      <w:pPr>
        <w:pStyle w:val="TDC1"/>
        <w:rPr>
          <w:rFonts w:asciiTheme="minorHAnsi" w:eastAsiaTheme="minorEastAsia" w:hAnsiTheme="minorHAnsi" w:cstheme="minorBidi"/>
          <w:noProof/>
          <w:lang w:eastAsia="es-ES"/>
        </w:rPr>
      </w:pPr>
      <w:hyperlink w:anchor="_Toc132510948" w:history="1">
        <w:r w:rsidR="00D2055F" w:rsidRPr="00947A5F">
          <w:rPr>
            <w:rStyle w:val="Hipervnculo"/>
            <w:rFonts w:cs="Calibri"/>
            <w:b/>
            <w:bCs/>
            <w:noProof/>
          </w:rPr>
          <w:t>ALEGACIÓN 12.-</w:t>
        </w:r>
        <w:r w:rsidR="00D2055F">
          <w:rPr>
            <w:rFonts w:asciiTheme="minorHAnsi" w:eastAsiaTheme="minorEastAsia" w:hAnsiTheme="minorHAnsi" w:cstheme="minorBidi"/>
            <w:noProof/>
            <w:lang w:eastAsia="es-ES"/>
          </w:rPr>
          <w:tab/>
        </w:r>
        <w:r w:rsidR="00D2055F" w:rsidRPr="00947A5F">
          <w:rPr>
            <w:rStyle w:val="Hipervnculo"/>
            <w:rFonts w:cs="Calibri"/>
            <w:b/>
            <w:bCs/>
            <w:noProof/>
          </w:rPr>
          <w:t>Vulneración dos dereitos de participación pública en materia de medio ambiente.</w:t>
        </w:r>
        <w:r w:rsidR="00D2055F">
          <w:rPr>
            <w:noProof/>
            <w:webHidden/>
          </w:rPr>
          <w:tab/>
        </w:r>
        <w:r w:rsidR="00D2055F">
          <w:rPr>
            <w:noProof/>
            <w:webHidden/>
          </w:rPr>
          <w:fldChar w:fldCharType="begin"/>
        </w:r>
        <w:r w:rsidR="00D2055F">
          <w:rPr>
            <w:noProof/>
            <w:webHidden/>
          </w:rPr>
          <w:instrText xml:space="preserve"> PAGEREF _Toc132510948 \h </w:instrText>
        </w:r>
        <w:r w:rsidR="00D2055F">
          <w:rPr>
            <w:noProof/>
            <w:webHidden/>
          </w:rPr>
        </w:r>
        <w:r w:rsidR="00D2055F">
          <w:rPr>
            <w:noProof/>
            <w:webHidden/>
          </w:rPr>
          <w:fldChar w:fldCharType="separate"/>
        </w:r>
        <w:r w:rsidR="00421DFA">
          <w:rPr>
            <w:noProof/>
            <w:webHidden/>
          </w:rPr>
          <w:t>25</w:t>
        </w:r>
        <w:r w:rsidR="00D2055F">
          <w:rPr>
            <w:noProof/>
            <w:webHidden/>
          </w:rPr>
          <w:fldChar w:fldCharType="end"/>
        </w:r>
      </w:hyperlink>
    </w:p>
    <w:p w14:paraId="14D735CB" w14:textId="77777777" w:rsidR="00D2055F" w:rsidRDefault="0017543F">
      <w:pPr>
        <w:pStyle w:val="TDC1"/>
        <w:rPr>
          <w:rFonts w:asciiTheme="minorHAnsi" w:eastAsiaTheme="minorEastAsia" w:hAnsiTheme="minorHAnsi" w:cstheme="minorBidi"/>
          <w:noProof/>
          <w:lang w:eastAsia="es-ES"/>
        </w:rPr>
      </w:pPr>
      <w:hyperlink w:anchor="_Toc132510949" w:history="1">
        <w:r w:rsidR="00D2055F" w:rsidRPr="00947A5F">
          <w:rPr>
            <w:rStyle w:val="Hipervnculo"/>
            <w:rFonts w:cs="Calibri"/>
            <w:b/>
            <w:bCs/>
            <w:noProof/>
          </w:rPr>
          <w:t>ALEGACIÓN 13.-</w:t>
        </w:r>
        <w:r w:rsidR="00D2055F">
          <w:rPr>
            <w:rFonts w:asciiTheme="minorHAnsi" w:eastAsiaTheme="minorEastAsia" w:hAnsiTheme="minorHAnsi" w:cstheme="minorBidi"/>
            <w:noProof/>
            <w:lang w:eastAsia="es-ES"/>
          </w:rPr>
          <w:tab/>
        </w:r>
        <w:r w:rsidR="00D2055F" w:rsidRPr="00947A5F">
          <w:rPr>
            <w:rStyle w:val="Hipervnculo"/>
            <w:rFonts w:cs="Calibri"/>
            <w:b/>
            <w:bCs/>
            <w:noProof/>
          </w:rPr>
          <w:t>Vulneración da Lei 7/2012 de 28 de xuño de Montes de Galicia ao eliminar a multifuncionalidade do monte.</w:t>
        </w:r>
        <w:r w:rsidR="00D2055F">
          <w:rPr>
            <w:noProof/>
            <w:webHidden/>
          </w:rPr>
          <w:tab/>
        </w:r>
        <w:r w:rsidR="00D2055F">
          <w:rPr>
            <w:noProof/>
            <w:webHidden/>
          </w:rPr>
          <w:fldChar w:fldCharType="begin"/>
        </w:r>
        <w:r w:rsidR="00D2055F">
          <w:rPr>
            <w:noProof/>
            <w:webHidden/>
          </w:rPr>
          <w:instrText xml:space="preserve"> PAGEREF _Toc132510949 \h </w:instrText>
        </w:r>
        <w:r w:rsidR="00D2055F">
          <w:rPr>
            <w:noProof/>
            <w:webHidden/>
          </w:rPr>
        </w:r>
        <w:r w:rsidR="00D2055F">
          <w:rPr>
            <w:noProof/>
            <w:webHidden/>
          </w:rPr>
          <w:fldChar w:fldCharType="separate"/>
        </w:r>
        <w:r w:rsidR="00421DFA">
          <w:rPr>
            <w:noProof/>
            <w:webHidden/>
          </w:rPr>
          <w:t>27</w:t>
        </w:r>
        <w:r w:rsidR="00D2055F">
          <w:rPr>
            <w:noProof/>
            <w:webHidden/>
          </w:rPr>
          <w:fldChar w:fldCharType="end"/>
        </w:r>
      </w:hyperlink>
    </w:p>
    <w:p w14:paraId="1F37738E" w14:textId="77777777" w:rsidR="00D2055F" w:rsidRDefault="0017543F">
      <w:pPr>
        <w:pStyle w:val="TDC1"/>
        <w:rPr>
          <w:rFonts w:asciiTheme="minorHAnsi" w:eastAsiaTheme="minorEastAsia" w:hAnsiTheme="minorHAnsi" w:cstheme="minorBidi"/>
          <w:noProof/>
          <w:lang w:eastAsia="es-ES"/>
        </w:rPr>
      </w:pPr>
      <w:hyperlink w:anchor="_Toc132510950" w:history="1">
        <w:r w:rsidR="00D2055F" w:rsidRPr="00947A5F">
          <w:rPr>
            <w:rStyle w:val="Hipervnculo"/>
            <w:rFonts w:cs="Calibri"/>
            <w:b/>
            <w:bCs/>
            <w:noProof/>
          </w:rPr>
          <w:t>ALEGACIÓN 14.-</w:t>
        </w:r>
        <w:r w:rsidR="00D2055F">
          <w:rPr>
            <w:rFonts w:asciiTheme="minorHAnsi" w:eastAsiaTheme="minorEastAsia" w:hAnsiTheme="minorHAnsi" w:cstheme="minorBidi"/>
            <w:noProof/>
            <w:lang w:eastAsia="es-ES"/>
          </w:rPr>
          <w:tab/>
        </w:r>
        <w:r w:rsidR="00D2055F" w:rsidRPr="00947A5F">
          <w:rPr>
            <w:rStyle w:val="Hipervnculo"/>
            <w:rFonts w:cs="Calibri"/>
            <w:b/>
            <w:bCs/>
            <w:noProof/>
          </w:rPr>
          <w:t>Afección e perxuizos serios e irreparables as explotacións agro-gandeiras da área de afección do P.E. Torroña I.</w:t>
        </w:r>
        <w:r w:rsidR="00D2055F">
          <w:rPr>
            <w:noProof/>
            <w:webHidden/>
          </w:rPr>
          <w:tab/>
        </w:r>
        <w:r w:rsidR="00D2055F">
          <w:rPr>
            <w:noProof/>
            <w:webHidden/>
          </w:rPr>
          <w:fldChar w:fldCharType="begin"/>
        </w:r>
        <w:r w:rsidR="00D2055F">
          <w:rPr>
            <w:noProof/>
            <w:webHidden/>
          </w:rPr>
          <w:instrText xml:space="preserve"> PAGEREF _Toc132510950 \h </w:instrText>
        </w:r>
        <w:r w:rsidR="00D2055F">
          <w:rPr>
            <w:noProof/>
            <w:webHidden/>
          </w:rPr>
        </w:r>
        <w:r w:rsidR="00D2055F">
          <w:rPr>
            <w:noProof/>
            <w:webHidden/>
          </w:rPr>
          <w:fldChar w:fldCharType="separate"/>
        </w:r>
        <w:r w:rsidR="00421DFA">
          <w:rPr>
            <w:noProof/>
            <w:webHidden/>
          </w:rPr>
          <w:t>29</w:t>
        </w:r>
        <w:r w:rsidR="00D2055F">
          <w:rPr>
            <w:noProof/>
            <w:webHidden/>
          </w:rPr>
          <w:fldChar w:fldCharType="end"/>
        </w:r>
      </w:hyperlink>
    </w:p>
    <w:p w14:paraId="2D58DB04" w14:textId="77777777" w:rsidR="00D2055F" w:rsidRDefault="0017543F">
      <w:pPr>
        <w:pStyle w:val="TDC1"/>
        <w:rPr>
          <w:rFonts w:asciiTheme="minorHAnsi" w:eastAsiaTheme="minorEastAsia" w:hAnsiTheme="minorHAnsi" w:cstheme="minorBidi"/>
          <w:noProof/>
          <w:lang w:eastAsia="es-ES"/>
        </w:rPr>
      </w:pPr>
      <w:hyperlink w:anchor="_Toc132510951" w:history="1">
        <w:r w:rsidR="00D2055F" w:rsidRPr="00947A5F">
          <w:rPr>
            <w:rStyle w:val="Hipervnculo"/>
            <w:rFonts w:cs="Calibri"/>
            <w:b/>
            <w:bCs/>
            <w:noProof/>
          </w:rPr>
          <w:t>ALEGACIÓN 15.-</w:t>
        </w:r>
        <w:r w:rsidR="00D2055F">
          <w:rPr>
            <w:rFonts w:asciiTheme="minorHAnsi" w:eastAsiaTheme="minorEastAsia" w:hAnsiTheme="minorHAnsi" w:cstheme="minorBidi"/>
            <w:noProof/>
            <w:lang w:eastAsia="es-ES"/>
          </w:rPr>
          <w:tab/>
        </w:r>
        <w:r w:rsidR="00D2055F" w:rsidRPr="00947A5F">
          <w:rPr>
            <w:rStyle w:val="Hipervnculo"/>
            <w:rFonts w:cs="Calibri"/>
            <w:b/>
            <w:bCs/>
            <w:noProof/>
          </w:rPr>
          <w:t>Perxuizos irreversibles para o Lobo e a vialbilidade da especie derivados da construcción do P.E. Torroña I, afectando aos puntos de encame e aos puntos de encontró lobeiros.</w:t>
        </w:r>
        <w:r w:rsidR="00D2055F">
          <w:rPr>
            <w:noProof/>
            <w:webHidden/>
          </w:rPr>
          <w:tab/>
        </w:r>
        <w:r w:rsidR="00D2055F">
          <w:rPr>
            <w:noProof/>
            <w:webHidden/>
          </w:rPr>
          <w:fldChar w:fldCharType="begin"/>
        </w:r>
        <w:r w:rsidR="00D2055F">
          <w:rPr>
            <w:noProof/>
            <w:webHidden/>
          </w:rPr>
          <w:instrText xml:space="preserve"> PAGEREF _Toc132510951 \h </w:instrText>
        </w:r>
        <w:r w:rsidR="00D2055F">
          <w:rPr>
            <w:noProof/>
            <w:webHidden/>
          </w:rPr>
        </w:r>
        <w:r w:rsidR="00D2055F">
          <w:rPr>
            <w:noProof/>
            <w:webHidden/>
          </w:rPr>
          <w:fldChar w:fldCharType="separate"/>
        </w:r>
        <w:r w:rsidR="00421DFA">
          <w:rPr>
            <w:noProof/>
            <w:webHidden/>
          </w:rPr>
          <w:t>29</w:t>
        </w:r>
        <w:r w:rsidR="00D2055F">
          <w:rPr>
            <w:noProof/>
            <w:webHidden/>
          </w:rPr>
          <w:fldChar w:fldCharType="end"/>
        </w:r>
      </w:hyperlink>
    </w:p>
    <w:p w14:paraId="44D6E66B" w14:textId="77777777" w:rsidR="00D2055F" w:rsidRDefault="0017543F">
      <w:pPr>
        <w:pStyle w:val="TDC1"/>
        <w:rPr>
          <w:rFonts w:asciiTheme="minorHAnsi" w:eastAsiaTheme="minorEastAsia" w:hAnsiTheme="minorHAnsi" w:cstheme="minorBidi"/>
          <w:noProof/>
          <w:lang w:eastAsia="es-ES"/>
        </w:rPr>
      </w:pPr>
      <w:hyperlink w:anchor="_Toc132510952" w:history="1">
        <w:r w:rsidR="00D2055F" w:rsidRPr="00947A5F">
          <w:rPr>
            <w:rStyle w:val="Hipervnculo"/>
            <w:rFonts w:cs="Calibri"/>
            <w:b/>
            <w:bCs/>
            <w:noProof/>
          </w:rPr>
          <w:t>ALEGACIÓN 16.-</w:t>
        </w:r>
        <w:r w:rsidR="00D2055F">
          <w:rPr>
            <w:rFonts w:asciiTheme="minorHAnsi" w:eastAsiaTheme="minorEastAsia" w:hAnsiTheme="minorHAnsi" w:cstheme="minorBidi"/>
            <w:noProof/>
            <w:lang w:eastAsia="es-ES"/>
          </w:rPr>
          <w:tab/>
        </w:r>
        <w:r w:rsidR="00D2055F" w:rsidRPr="00947A5F">
          <w:rPr>
            <w:rStyle w:val="Hipervnculo"/>
            <w:rFonts w:cs="Calibri"/>
            <w:b/>
            <w:bCs/>
            <w:noProof/>
          </w:rPr>
          <w:t>Non existe estudio do retorno social do proxecto eólico.</w:t>
        </w:r>
        <w:r w:rsidR="00D2055F">
          <w:rPr>
            <w:noProof/>
            <w:webHidden/>
          </w:rPr>
          <w:tab/>
        </w:r>
        <w:r w:rsidR="00D2055F">
          <w:rPr>
            <w:noProof/>
            <w:webHidden/>
          </w:rPr>
          <w:fldChar w:fldCharType="begin"/>
        </w:r>
        <w:r w:rsidR="00D2055F">
          <w:rPr>
            <w:noProof/>
            <w:webHidden/>
          </w:rPr>
          <w:instrText xml:space="preserve"> PAGEREF _Toc132510952 \h </w:instrText>
        </w:r>
        <w:r w:rsidR="00D2055F">
          <w:rPr>
            <w:noProof/>
            <w:webHidden/>
          </w:rPr>
        </w:r>
        <w:r w:rsidR="00D2055F">
          <w:rPr>
            <w:noProof/>
            <w:webHidden/>
          </w:rPr>
          <w:fldChar w:fldCharType="separate"/>
        </w:r>
        <w:r w:rsidR="00421DFA">
          <w:rPr>
            <w:noProof/>
            <w:webHidden/>
          </w:rPr>
          <w:t>30</w:t>
        </w:r>
        <w:r w:rsidR="00D2055F">
          <w:rPr>
            <w:noProof/>
            <w:webHidden/>
          </w:rPr>
          <w:fldChar w:fldCharType="end"/>
        </w:r>
      </w:hyperlink>
    </w:p>
    <w:p w14:paraId="03527908" w14:textId="77777777" w:rsidR="00D2055F" w:rsidRDefault="0017543F">
      <w:pPr>
        <w:pStyle w:val="TDC1"/>
        <w:rPr>
          <w:rFonts w:asciiTheme="minorHAnsi" w:eastAsiaTheme="minorEastAsia" w:hAnsiTheme="minorHAnsi" w:cstheme="minorBidi"/>
          <w:noProof/>
          <w:lang w:eastAsia="es-ES"/>
        </w:rPr>
      </w:pPr>
      <w:hyperlink w:anchor="_Toc132510953" w:history="1">
        <w:r w:rsidR="00D2055F" w:rsidRPr="00947A5F">
          <w:rPr>
            <w:rStyle w:val="Hipervnculo"/>
            <w:rFonts w:cs="Calibri"/>
            <w:b/>
            <w:bCs/>
            <w:noProof/>
          </w:rPr>
          <w:t>ALEGACIÓN 17.- Vulneración da Ley 21/2003 de avaliación ambiental (BOE do 11 de decembro de 2013).</w:t>
        </w:r>
        <w:r w:rsidR="00D2055F">
          <w:rPr>
            <w:noProof/>
            <w:webHidden/>
          </w:rPr>
          <w:tab/>
        </w:r>
        <w:r w:rsidR="00D2055F">
          <w:rPr>
            <w:noProof/>
            <w:webHidden/>
          </w:rPr>
          <w:fldChar w:fldCharType="begin"/>
        </w:r>
        <w:r w:rsidR="00D2055F">
          <w:rPr>
            <w:noProof/>
            <w:webHidden/>
          </w:rPr>
          <w:instrText xml:space="preserve"> PAGEREF _Toc132510953 \h </w:instrText>
        </w:r>
        <w:r w:rsidR="00D2055F">
          <w:rPr>
            <w:noProof/>
            <w:webHidden/>
          </w:rPr>
        </w:r>
        <w:r w:rsidR="00D2055F">
          <w:rPr>
            <w:noProof/>
            <w:webHidden/>
          </w:rPr>
          <w:fldChar w:fldCharType="separate"/>
        </w:r>
        <w:r w:rsidR="00421DFA">
          <w:rPr>
            <w:noProof/>
            <w:webHidden/>
          </w:rPr>
          <w:t>31</w:t>
        </w:r>
        <w:r w:rsidR="00D2055F">
          <w:rPr>
            <w:noProof/>
            <w:webHidden/>
          </w:rPr>
          <w:fldChar w:fldCharType="end"/>
        </w:r>
      </w:hyperlink>
    </w:p>
    <w:p w14:paraId="0DF9D970" w14:textId="77777777" w:rsidR="00D2055F" w:rsidRDefault="0017543F">
      <w:pPr>
        <w:pStyle w:val="TDC1"/>
        <w:rPr>
          <w:rFonts w:asciiTheme="minorHAnsi" w:eastAsiaTheme="minorEastAsia" w:hAnsiTheme="minorHAnsi" w:cstheme="minorBidi"/>
          <w:noProof/>
          <w:lang w:eastAsia="es-ES"/>
        </w:rPr>
      </w:pPr>
      <w:hyperlink w:anchor="_Toc132510954" w:history="1">
        <w:r w:rsidR="00D2055F" w:rsidRPr="00947A5F">
          <w:rPr>
            <w:rStyle w:val="Hipervnculo"/>
            <w:b/>
            <w:noProof/>
          </w:rPr>
          <w:t>ALEGACIÓN 18.- Vulneración das determinacións do planeamento urbanístico municipal dos concellos de Tomiño, Baiona, Oia.</w:t>
        </w:r>
        <w:r w:rsidR="00D2055F">
          <w:rPr>
            <w:noProof/>
            <w:webHidden/>
          </w:rPr>
          <w:tab/>
        </w:r>
        <w:r w:rsidR="00D2055F">
          <w:rPr>
            <w:noProof/>
            <w:webHidden/>
          </w:rPr>
          <w:fldChar w:fldCharType="begin"/>
        </w:r>
        <w:r w:rsidR="00D2055F">
          <w:rPr>
            <w:noProof/>
            <w:webHidden/>
          </w:rPr>
          <w:instrText xml:space="preserve"> PAGEREF _Toc132510954 \h </w:instrText>
        </w:r>
        <w:r w:rsidR="00D2055F">
          <w:rPr>
            <w:noProof/>
            <w:webHidden/>
          </w:rPr>
        </w:r>
        <w:r w:rsidR="00D2055F">
          <w:rPr>
            <w:noProof/>
            <w:webHidden/>
          </w:rPr>
          <w:fldChar w:fldCharType="separate"/>
        </w:r>
        <w:r w:rsidR="00421DFA">
          <w:rPr>
            <w:noProof/>
            <w:webHidden/>
          </w:rPr>
          <w:t>33</w:t>
        </w:r>
        <w:r w:rsidR="00D2055F">
          <w:rPr>
            <w:noProof/>
            <w:webHidden/>
          </w:rPr>
          <w:fldChar w:fldCharType="end"/>
        </w:r>
      </w:hyperlink>
    </w:p>
    <w:p w14:paraId="451753A3" w14:textId="77777777" w:rsidR="00D2055F" w:rsidRDefault="0017543F">
      <w:pPr>
        <w:pStyle w:val="TDC2"/>
        <w:tabs>
          <w:tab w:val="right" w:leader="dot" w:pos="9629"/>
        </w:tabs>
        <w:rPr>
          <w:rFonts w:asciiTheme="minorHAnsi" w:eastAsiaTheme="minorEastAsia" w:hAnsiTheme="minorHAnsi" w:cstheme="minorBidi"/>
          <w:noProof/>
          <w:sz w:val="22"/>
          <w:szCs w:val="22"/>
          <w:lang w:val="es-ES" w:eastAsia="es-ES"/>
        </w:rPr>
      </w:pPr>
      <w:hyperlink w:anchor="_Toc132510955" w:history="1">
        <w:r w:rsidR="00D2055F" w:rsidRPr="00947A5F">
          <w:rPr>
            <w:rStyle w:val="Hipervnculo"/>
            <w:rFonts w:cstheme="minorHAnsi"/>
            <w:noProof/>
            <w:lang w:eastAsia="es-ES"/>
          </w:rPr>
          <w:t>PXOM do concello de Tomiño</w:t>
        </w:r>
        <w:r w:rsidR="00D2055F">
          <w:rPr>
            <w:noProof/>
            <w:webHidden/>
          </w:rPr>
          <w:tab/>
        </w:r>
        <w:r w:rsidR="00D2055F">
          <w:rPr>
            <w:noProof/>
            <w:webHidden/>
          </w:rPr>
          <w:fldChar w:fldCharType="begin"/>
        </w:r>
        <w:r w:rsidR="00D2055F">
          <w:rPr>
            <w:noProof/>
            <w:webHidden/>
          </w:rPr>
          <w:instrText xml:space="preserve"> PAGEREF _Toc132510955 \h </w:instrText>
        </w:r>
        <w:r w:rsidR="00D2055F">
          <w:rPr>
            <w:noProof/>
            <w:webHidden/>
          </w:rPr>
        </w:r>
        <w:r w:rsidR="00D2055F">
          <w:rPr>
            <w:noProof/>
            <w:webHidden/>
          </w:rPr>
          <w:fldChar w:fldCharType="separate"/>
        </w:r>
        <w:r w:rsidR="00421DFA">
          <w:rPr>
            <w:noProof/>
            <w:webHidden/>
          </w:rPr>
          <w:t>33</w:t>
        </w:r>
        <w:r w:rsidR="00D2055F">
          <w:rPr>
            <w:noProof/>
            <w:webHidden/>
          </w:rPr>
          <w:fldChar w:fldCharType="end"/>
        </w:r>
      </w:hyperlink>
    </w:p>
    <w:p w14:paraId="2AF07CAB" w14:textId="77777777" w:rsidR="00D2055F" w:rsidRDefault="0017543F">
      <w:pPr>
        <w:pStyle w:val="TDC2"/>
        <w:tabs>
          <w:tab w:val="right" w:leader="dot" w:pos="9629"/>
        </w:tabs>
        <w:rPr>
          <w:rFonts w:asciiTheme="minorHAnsi" w:eastAsiaTheme="minorEastAsia" w:hAnsiTheme="minorHAnsi" w:cstheme="minorBidi"/>
          <w:noProof/>
          <w:sz w:val="22"/>
          <w:szCs w:val="22"/>
          <w:lang w:val="es-ES" w:eastAsia="es-ES"/>
        </w:rPr>
      </w:pPr>
      <w:hyperlink w:anchor="_Toc132510956" w:history="1">
        <w:r w:rsidR="00D2055F" w:rsidRPr="00947A5F">
          <w:rPr>
            <w:rStyle w:val="Hipervnculo"/>
            <w:rFonts w:cstheme="minorHAnsi"/>
            <w:noProof/>
            <w:lang w:eastAsia="es-ES"/>
          </w:rPr>
          <w:t>PXOM do concello de Baiona</w:t>
        </w:r>
        <w:r w:rsidR="00D2055F">
          <w:rPr>
            <w:noProof/>
            <w:webHidden/>
          </w:rPr>
          <w:tab/>
        </w:r>
        <w:r w:rsidR="00D2055F">
          <w:rPr>
            <w:noProof/>
            <w:webHidden/>
          </w:rPr>
          <w:fldChar w:fldCharType="begin"/>
        </w:r>
        <w:r w:rsidR="00D2055F">
          <w:rPr>
            <w:noProof/>
            <w:webHidden/>
          </w:rPr>
          <w:instrText xml:space="preserve"> PAGEREF _Toc132510956 \h </w:instrText>
        </w:r>
        <w:r w:rsidR="00D2055F">
          <w:rPr>
            <w:noProof/>
            <w:webHidden/>
          </w:rPr>
        </w:r>
        <w:r w:rsidR="00D2055F">
          <w:rPr>
            <w:noProof/>
            <w:webHidden/>
          </w:rPr>
          <w:fldChar w:fldCharType="separate"/>
        </w:r>
        <w:r w:rsidR="00421DFA">
          <w:rPr>
            <w:noProof/>
            <w:webHidden/>
          </w:rPr>
          <w:t>34</w:t>
        </w:r>
        <w:r w:rsidR="00D2055F">
          <w:rPr>
            <w:noProof/>
            <w:webHidden/>
          </w:rPr>
          <w:fldChar w:fldCharType="end"/>
        </w:r>
      </w:hyperlink>
    </w:p>
    <w:p w14:paraId="66EB678A" w14:textId="77777777" w:rsidR="00D2055F" w:rsidRDefault="0017543F">
      <w:pPr>
        <w:pStyle w:val="TDC2"/>
        <w:tabs>
          <w:tab w:val="right" w:leader="dot" w:pos="9629"/>
        </w:tabs>
        <w:rPr>
          <w:rFonts w:asciiTheme="minorHAnsi" w:eastAsiaTheme="minorEastAsia" w:hAnsiTheme="minorHAnsi" w:cstheme="minorBidi"/>
          <w:noProof/>
          <w:sz w:val="22"/>
          <w:szCs w:val="22"/>
          <w:lang w:val="es-ES" w:eastAsia="es-ES"/>
        </w:rPr>
      </w:pPr>
      <w:hyperlink w:anchor="_Toc132510957" w:history="1">
        <w:r w:rsidR="00D2055F" w:rsidRPr="00947A5F">
          <w:rPr>
            <w:rStyle w:val="Hipervnculo"/>
            <w:rFonts w:cstheme="minorHAnsi"/>
            <w:i/>
            <w:iCs/>
            <w:noProof/>
          </w:rPr>
          <w:t>NN.SS. do concello de Oia</w:t>
        </w:r>
        <w:r w:rsidR="00D2055F">
          <w:rPr>
            <w:noProof/>
            <w:webHidden/>
          </w:rPr>
          <w:tab/>
        </w:r>
        <w:r w:rsidR="00D2055F">
          <w:rPr>
            <w:noProof/>
            <w:webHidden/>
          </w:rPr>
          <w:fldChar w:fldCharType="begin"/>
        </w:r>
        <w:r w:rsidR="00D2055F">
          <w:rPr>
            <w:noProof/>
            <w:webHidden/>
          </w:rPr>
          <w:instrText xml:space="preserve"> PAGEREF _Toc132510957 \h </w:instrText>
        </w:r>
        <w:r w:rsidR="00D2055F">
          <w:rPr>
            <w:noProof/>
            <w:webHidden/>
          </w:rPr>
        </w:r>
        <w:r w:rsidR="00D2055F">
          <w:rPr>
            <w:noProof/>
            <w:webHidden/>
          </w:rPr>
          <w:fldChar w:fldCharType="separate"/>
        </w:r>
        <w:r w:rsidR="00421DFA">
          <w:rPr>
            <w:noProof/>
            <w:webHidden/>
          </w:rPr>
          <w:t>34</w:t>
        </w:r>
        <w:r w:rsidR="00D2055F">
          <w:rPr>
            <w:noProof/>
            <w:webHidden/>
          </w:rPr>
          <w:fldChar w:fldCharType="end"/>
        </w:r>
      </w:hyperlink>
    </w:p>
    <w:p w14:paraId="6FEFF48B" w14:textId="77777777" w:rsidR="00D2055F" w:rsidRDefault="0017543F">
      <w:pPr>
        <w:pStyle w:val="TDC1"/>
        <w:rPr>
          <w:rFonts w:asciiTheme="minorHAnsi" w:eastAsiaTheme="minorEastAsia" w:hAnsiTheme="minorHAnsi" w:cstheme="minorBidi"/>
          <w:noProof/>
          <w:lang w:eastAsia="es-ES"/>
        </w:rPr>
      </w:pPr>
      <w:hyperlink w:anchor="_Toc132510958" w:history="1">
        <w:r w:rsidR="00D2055F" w:rsidRPr="00947A5F">
          <w:rPr>
            <w:rStyle w:val="Hipervnculo"/>
            <w:rFonts w:cs="Calibri"/>
            <w:b/>
            <w:noProof/>
          </w:rPr>
          <w:t>ALEGACIÓN 19.-</w:t>
        </w:r>
        <w:r w:rsidR="00D2055F" w:rsidRPr="00947A5F">
          <w:rPr>
            <w:rStyle w:val="Hipervnculo"/>
            <w:rFonts w:cs="Calibri"/>
            <w:noProof/>
          </w:rPr>
          <w:t xml:space="preserve"> </w:t>
        </w:r>
        <w:r w:rsidR="00D2055F" w:rsidRPr="00947A5F">
          <w:rPr>
            <w:rStyle w:val="Hipervnculo"/>
            <w:rFonts w:cs="Calibri"/>
            <w:b/>
            <w:noProof/>
          </w:rPr>
          <w:t>Tanto o PE Torroña I como o PE Toroña, nunca deberon ser tramitados pola Xunta de Galicia pola súa superposición co PE Albariño I  presentado con anterioridade na Dirección Xeral de Planificación Enerxética e Recursos Minerais da Xunta de Galicia.</w:t>
        </w:r>
        <w:r w:rsidR="00D2055F">
          <w:rPr>
            <w:noProof/>
            <w:webHidden/>
          </w:rPr>
          <w:tab/>
        </w:r>
        <w:r w:rsidR="00D2055F">
          <w:rPr>
            <w:noProof/>
            <w:webHidden/>
          </w:rPr>
          <w:fldChar w:fldCharType="begin"/>
        </w:r>
        <w:r w:rsidR="00D2055F">
          <w:rPr>
            <w:noProof/>
            <w:webHidden/>
          </w:rPr>
          <w:instrText xml:space="preserve"> PAGEREF _Toc132510958 \h </w:instrText>
        </w:r>
        <w:r w:rsidR="00D2055F">
          <w:rPr>
            <w:noProof/>
            <w:webHidden/>
          </w:rPr>
        </w:r>
        <w:r w:rsidR="00D2055F">
          <w:rPr>
            <w:noProof/>
            <w:webHidden/>
          </w:rPr>
          <w:fldChar w:fldCharType="separate"/>
        </w:r>
        <w:r w:rsidR="00421DFA">
          <w:rPr>
            <w:noProof/>
            <w:webHidden/>
          </w:rPr>
          <w:t>35</w:t>
        </w:r>
        <w:r w:rsidR="00D2055F">
          <w:rPr>
            <w:noProof/>
            <w:webHidden/>
          </w:rPr>
          <w:fldChar w:fldCharType="end"/>
        </w:r>
      </w:hyperlink>
    </w:p>
    <w:p w14:paraId="63856969" w14:textId="77777777" w:rsidR="00D2055F" w:rsidRDefault="0017543F">
      <w:pPr>
        <w:pStyle w:val="TDC1"/>
        <w:rPr>
          <w:rFonts w:asciiTheme="minorHAnsi" w:eastAsiaTheme="minorEastAsia" w:hAnsiTheme="minorHAnsi" w:cstheme="minorBidi"/>
          <w:noProof/>
          <w:lang w:eastAsia="es-ES"/>
        </w:rPr>
      </w:pPr>
      <w:hyperlink w:anchor="_Toc132510959" w:history="1">
        <w:r w:rsidR="00D2055F" w:rsidRPr="00947A5F">
          <w:rPr>
            <w:rStyle w:val="Hipervnculo"/>
            <w:rFonts w:cs="Calibri"/>
            <w:b/>
            <w:noProof/>
          </w:rPr>
          <w:t>ALEGACIÓN 20.-</w:t>
        </w:r>
        <w:r w:rsidR="00D2055F" w:rsidRPr="00947A5F">
          <w:rPr>
            <w:rStyle w:val="Hipervnculo"/>
            <w:rFonts w:cs="Calibri"/>
            <w:noProof/>
          </w:rPr>
          <w:t xml:space="preserve"> </w:t>
        </w:r>
        <w:r w:rsidR="00D2055F" w:rsidRPr="00947A5F">
          <w:rPr>
            <w:rStyle w:val="Hipervnculo"/>
            <w:rFonts w:cs="Calibri"/>
            <w:b/>
            <w:noProof/>
          </w:rPr>
          <w:t>As infraestructuras de evacuación</w:t>
        </w:r>
        <w:r w:rsidR="00D2055F" w:rsidRPr="00947A5F">
          <w:rPr>
            <w:rStyle w:val="Hipervnculo"/>
            <w:rFonts w:cs="Calibri"/>
            <w:noProof/>
          </w:rPr>
          <w:t xml:space="preserve"> do</w:t>
        </w:r>
        <w:r w:rsidR="00D2055F" w:rsidRPr="00947A5F">
          <w:rPr>
            <w:rStyle w:val="Hipervnculo"/>
            <w:rFonts w:cs="Calibri"/>
            <w:b/>
            <w:noProof/>
          </w:rPr>
          <w:t xml:space="preserve"> PE Torroña I son comúns con outros PE proxectados na zona, o que reflexa unha fragmentación fraudulenta de todos eses proxectos.</w:t>
        </w:r>
        <w:r w:rsidR="00D2055F">
          <w:rPr>
            <w:noProof/>
            <w:webHidden/>
          </w:rPr>
          <w:tab/>
        </w:r>
        <w:r w:rsidR="00D2055F">
          <w:rPr>
            <w:noProof/>
            <w:webHidden/>
          </w:rPr>
          <w:fldChar w:fldCharType="begin"/>
        </w:r>
        <w:r w:rsidR="00D2055F">
          <w:rPr>
            <w:noProof/>
            <w:webHidden/>
          </w:rPr>
          <w:instrText xml:space="preserve"> PAGEREF _Toc132510959 \h </w:instrText>
        </w:r>
        <w:r w:rsidR="00D2055F">
          <w:rPr>
            <w:noProof/>
            <w:webHidden/>
          </w:rPr>
        </w:r>
        <w:r w:rsidR="00D2055F">
          <w:rPr>
            <w:noProof/>
            <w:webHidden/>
          </w:rPr>
          <w:fldChar w:fldCharType="separate"/>
        </w:r>
        <w:r w:rsidR="00421DFA">
          <w:rPr>
            <w:noProof/>
            <w:webHidden/>
          </w:rPr>
          <w:t>37</w:t>
        </w:r>
        <w:r w:rsidR="00D2055F">
          <w:rPr>
            <w:noProof/>
            <w:webHidden/>
          </w:rPr>
          <w:fldChar w:fldCharType="end"/>
        </w:r>
      </w:hyperlink>
    </w:p>
    <w:p w14:paraId="1029D729" w14:textId="77777777" w:rsidR="00D2055F" w:rsidRDefault="0017543F">
      <w:pPr>
        <w:pStyle w:val="TDC1"/>
        <w:rPr>
          <w:rFonts w:asciiTheme="minorHAnsi" w:eastAsiaTheme="minorEastAsia" w:hAnsiTheme="minorHAnsi" w:cstheme="minorBidi"/>
          <w:noProof/>
          <w:lang w:eastAsia="es-ES"/>
        </w:rPr>
      </w:pPr>
      <w:hyperlink w:anchor="_Toc132510960" w:history="1">
        <w:r w:rsidR="00D2055F" w:rsidRPr="00947A5F">
          <w:rPr>
            <w:rStyle w:val="Hipervnculo"/>
            <w:rFonts w:cs="Calibri"/>
            <w:b/>
            <w:noProof/>
          </w:rPr>
          <w:t>ALEGACIÓN 21.-</w:t>
        </w:r>
        <w:r w:rsidR="00D2055F" w:rsidRPr="00947A5F">
          <w:rPr>
            <w:rStyle w:val="Hipervnculo"/>
            <w:rFonts w:cs="Calibri"/>
            <w:noProof/>
          </w:rPr>
          <w:t xml:space="preserve"> </w:t>
        </w:r>
        <w:r w:rsidR="00D2055F" w:rsidRPr="00947A5F">
          <w:rPr>
            <w:rStyle w:val="Hipervnculo"/>
            <w:rFonts w:cs="Calibri"/>
            <w:b/>
            <w:bCs/>
            <w:noProof/>
          </w:rPr>
          <w:t xml:space="preserve">O </w:t>
        </w:r>
        <w:r w:rsidR="00D2055F" w:rsidRPr="00947A5F">
          <w:rPr>
            <w:rStyle w:val="Hipervnculo"/>
            <w:rFonts w:cs="Calibri"/>
            <w:b/>
            <w:bCs/>
            <w:noProof/>
            <w:spacing w:val="-1"/>
          </w:rPr>
          <w:t>p</w:t>
        </w:r>
        <w:r w:rsidR="00D2055F" w:rsidRPr="00947A5F">
          <w:rPr>
            <w:rStyle w:val="Hipervnculo"/>
            <w:rFonts w:cs="Calibri"/>
            <w:b/>
            <w:bCs/>
            <w:noProof/>
            <w:spacing w:val="-2"/>
          </w:rPr>
          <w:t>r</w:t>
        </w:r>
        <w:r w:rsidR="00D2055F" w:rsidRPr="00947A5F">
          <w:rPr>
            <w:rStyle w:val="Hipervnculo"/>
            <w:rFonts w:cs="Calibri"/>
            <w:b/>
            <w:bCs/>
            <w:noProof/>
            <w:spacing w:val="-6"/>
          </w:rPr>
          <w:t>o</w:t>
        </w:r>
        <w:r w:rsidR="00D2055F" w:rsidRPr="00947A5F">
          <w:rPr>
            <w:rStyle w:val="Hipervnculo"/>
            <w:rFonts w:cs="Calibri"/>
            <w:b/>
            <w:bCs/>
            <w:noProof/>
            <w:spacing w:val="-5"/>
          </w:rPr>
          <w:t>x</w:t>
        </w:r>
        <w:r w:rsidR="00D2055F" w:rsidRPr="00947A5F">
          <w:rPr>
            <w:rStyle w:val="Hipervnculo"/>
            <w:rFonts w:cs="Calibri"/>
            <w:b/>
            <w:bCs/>
            <w:noProof/>
            <w:spacing w:val="-1"/>
          </w:rPr>
          <w:t>e</w:t>
        </w:r>
        <w:r w:rsidR="00D2055F" w:rsidRPr="00947A5F">
          <w:rPr>
            <w:rStyle w:val="Hipervnculo"/>
            <w:rFonts w:cs="Calibri"/>
            <w:b/>
            <w:bCs/>
            <w:noProof/>
            <w:spacing w:val="1"/>
          </w:rPr>
          <w:t>c</w:t>
        </w:r>
        <w:r w:rsidR="00D2055F" w:rsidRPr="00947A5F">
          <w:rPr>
            <w:rStyle w:val="Hipervnculo"/>
            <w:rFonts w:cs="Calibri"/>
            <w:b/>
            <w:bCs/>
            <w:noProof/>
            <w:spacing w:val="-2"/>
          </w:rPr>
          <w:t>t</w:t>
        </w:r>
        <w:r w:rsidR="00D2055F" w:rsidRPr="00947A5F">
          <w:rPr>
            <w:rStyle w:val="Hipervnculo"/>
            <w:rFonts w:cs="Calibri"/>
            <w:b/>
            <w:bCs/>
            <w:noProof/>
          </w:rPr>
          <w:t>o</w:t>
        </w:r>
        <w:r w:rsidR="00D2055F" w:rsidRPr="00947A5F">
          <w:rPr>
            <w:rStyle w:val="Hipervnculo"/>
            <w:rFonts w:cs="Calibri"/>
            <w:b/>
            <w:bCs/>
            <w:noProof/>
            <w:spacing w:val="-1"/>
          </w:rPr>
          <w:t xml:space="preserve"> </w:t>
        </w:r>
        <w:r w:rsidR="00D2055F" w:rsidRPr="00947A5F">
          <w:rPr>
            <w:rStyle w:val="Hipervnculo"/>
            <w:rFonts w:cs="Calibri"/>
            <w:b/>
            <w:bCs/>
            <w:noProof/>
            <w:spacing w:val="1"/>
          </w:rPr>
          <w:t>I</w:t>
        </w:r>
        <w:r w:rsidR="00D2055F" w:rsidRPr="00947A5F">
          <w:rPr>
            <w:rStyle w:val="Hipervnculo"/>
            <w:rFonts w:cs="Calibri"/>
            <w:b/>
            <w:bCs/>
            <w:noProof/>
            <w:spacing w:val="-1"/>
          </w:rPr>
          <w:t>ndu</w:t>
        </w:r>
        <w:r w:rsidR="00D2055F" w:rsidRPr="00947A5F">
          <w:rPr>
            <w:rStyle w:val="Hipervnculo"/>
            <w:rFonts w:cs="Calibri"/>
            <w:b/>
            <w:bCs/>
            <w:noProof/>
            <w:spacing w:val="-2"/>
          </w:rPr>
          <w:t>st</w:t>
        </w:r>
        <w:r w:rsidR="00D2055F" w:rsidRPr="00947A5F">
          <w:rPr>
            <w:rStyle w:val="Hipervnculo"/>
            <w:rFonts w:cs="Calibri"/>
            <w:b/>
            <w:bCs/>
            <w:noProof/>
            <w:spacing w:val="1"/>
          </w:rPr>
          <w:t>ri</w:t>
        </w:r>
        <w:r w:rsidR="00D2055F" w:rsidRPr="00947A5F">
          <w:rPr>
            <w:rStyle w:val="Hipervnculo"/>
            <w:rFonts w:cs="Calibri"/>
            <w:b/>
            <w:bCs/>
            <w:noProof/>
            <w:spacing w:val="-3"/>
          </w:rPr>
          <w:t>a</w:t>
        </w:r>
        <w:r w:rsidR="00D2055F" w:rsidRPr="00947A5F">
          <w:rPr>
            <w:rStyle w:val="Hipervnculo"/>
            <w:rFonts w:cs="Calibri"/>
            <w:b/>
            <w:bCs/>
            <w:noProof/>
          </w:rPr>
          <w:t>l</w:t>
        </w:r>
        <w:r w:rsidR="00D2055F" w:rsidRPr="00947A5F">
          <w:rPr>
            <w:rStyle w:val="Hipervnculo"/>
            <w:rFonts w:cs="Calibri"/>
            <w:b/>
            <w:bCs/>
            <w:noProof/>
            <w:spacing w:val="1"/>
          </w:rPr>
          <w:t xml:space="preserve"> </w:t>
        </w:r>
        <w:r w:rsidR="00D2055F" w:rsidRPr="00947A5F">
          <w:rPr>
            <w:rStyle w:val="Hipervnculo"/>
            <w:rFonts w:cs="Calibri"/>
            <w:b/>
            <w:bCs/>
            <w:noProof/>
          </w:rPr>
          <w:t>"</w:t>
        </w:r>
        <w:r w:rsidR="00D2055F" w:rsidRPr="00947A5F">
          <w:rPr>
            <w:rStyle w:val="Hipervnculo"/>
            <w:rFonts w:cs="Calibri"/>
            <w:b/>
            <w:bCs/>
            <w:noProof/>
            <w:spacing w:val="-5"/>
          </w:rPr>
          <w:t>P</w:t>
        </w:r>
        <w:r w:rsidR="00D2055F" w:rsidRPr="00947A5F">
          <w:rPr>
            <w:rStyle w:val="Hipervnculo"/>
            <w:rFonts w:cs="Calibri"/>
            <w:b/>
            <w:bCs/>
            <w:noProof/>
          </w:rPr>
          <w:t>a</w:t>
        </w:r>
        <w:r w:rsidR="00D2055F" w:rsidRPr="00947A5F">
          <w:rPr>
            <w:rStyle w:val="Hipervnculo"/>
            <w:rFonts w:cs="Calibri"/>
            <w:b/>
            <w:bCs/>
            <w:noProof/>
            <w:spacing w:val="-4"/>
          </w:rPr>
          <w:t>r</w:t>
        </w:r>
        <w:r w:rsidR="00D2055F" w:rsidRPr="00947A5F">
          <w:rPr>
            <w:rStyle w:val="Hipervnculo"/>
            <w:rFonts w:cs="Calibri"/>
            <w:b/>
            <w:bCs/>
            <w:noProof/>
            <w:spacing w:val="-1"/>
          </w:rPr>
          <w:t>qu</w:t>
        </w:r>
        <w:r w:rsidR="00D2055F" w:rsidRPr="00947A5F">
          <w:rPr>
            <w:rStyle w:val="Hipervnculo"/>
            <w:rFonts w:cs="Calibri"/>
            <w:b/>
            <w:bCs/>
            <w:noProof/>
          </w:rPr>
          <w:t>e</w:t>
        </w:r>
        <w:r w:rsidR="00D2055F" w:rsidRPr="00947A5F">
          <w:rPr>
            <w:rStyle w:val="Hipervnculo"/>
            <w:rFonts w:cs="Calibri"/>
            <w:b/>
            <w:bCs/>
            <w:noProof/>
            <w:spacing w:val="-1"/>
          </w:rPr>
          <w:t xml:space="preserve"> </w:t>
        </w:r>
        <w:r w:rsidR="00D2055F" w:rsidRPr="00947A5F">
          <w:rPr>
            <w:rStyle w:val="Hipervnculo"/>
            <w:rFonts w:cs="Calibri"/>
            <w:b/>
            <w:bCs/>
            <w:noProof/>
            <w:spacing w:val="-4"/>
          </w:rPr>
          <w:t>E</w:t>
        </w:r>
        <w:r w:rsidR="00D2055F" w:rsidRPr="00947A5F">
          <w:rPr>
            <w:rStyle w:val="Hipervnculo"/>
            <w:rFonts w:cs="Calibri"/>
            <w:b/>
            <w:bCs/>
            <w:noProof/>
            <w:spacing w:val="-1"/>
          </w:rPr>
          <w:t>ó</w:t>
        </w:r>
        <w:r w:rsidR="00D2055F" w:rsidRPr="00947A5F">
          <w:rPr>
            <w:rStyle w:val="Hipervnculo"/>
            <w:rFonts w:cs="Calibri"/>
            <w:b/>
            <w:bCs/>
            <w:noProof/>
            <w:spacing w:val="1"/>
          </w:rPr>
          <w:t>lic</w:t>
        </w:r>
        <w:r w:rsidR="00D2055F" w:rsidRPr="00947A5F">
          <w:rPr>
            <w:rStyle w:val="Hipervnculo"/>
            <w:rFonts w:cs="Calibri"/>
            <w:b/>
            <w:bCs/>
            <w:noProof/>
          </w:rPr>
          <w:t>o</w:t>
        </w:r>
        <w:r w:rsidR="00D2055F" w:rsidRPr="00947A5F">
          <w:rPr>
            <w:rStyle w:val="Hipervnculo"/>
            <w:rFonts w:cs="Calibri"/>
            <w:b/>
            <w:bCs/>
            <w:noProof/>
            <w:spacing w:val="-3"/>
          </w:rPr>
          <w:t xml:space="preserve"> </w:t>
        </w:r>
        <w:r w:rsidR="00D2055F" w:rsidRPr="00947A5F">
          <w:rPr>
            <w:rStyle w:val="Hipervnculo"/>
            <w:rFonts w:cs="Calibri"/>
            <w:b/>
            <w:bCs/>
            <w:noProof/>
            <w:spacing w:val="-18"/>
          </w:rPr>
          <w:t>T</w:t>
        </w:r>
        <w:r w:rsidR="00D2055F" w:rsidRPr="00947A5F">
          <w:rPr>
            <w:rStyle w:val="Hipervnculo"/>
            <w:rFonts w:cs="Calibri"/>
            <w:b/>
            <w:bCs/>
            <w:noProof/>
            <w:spacing w:val="-1"/>
          </w:rPr>
          <w:t>o</w:t>
        </w:r>
        <w:r w:rsidR="00D2055F" w:rsidRPr="00947A5F">
          <w:rPr>
            <w:rStyle w:val="Hipervnculo"/>
            <w:rFonts w:cs="Calibri"/>
            <w:b/>
            <w:bCs/>
            <w:noProof/>
            <w:spacing w:val="-2"/>
          </w:rPr>
          <w:t>rr</w:t>
        </w:r>
        <w:r w:rsidR="00D2055F" w:rsidRPr="00947A5F">
          <w:rPr>
            <w:rStyle w:val="Hipervnculo"/>
            <w:rFonts w:cs="Calibri"/>
            <w:b/>
            <w:bCs/>
            <w:noProof/>
            <w:spacing w:val="-1"/>
          </w:rPr>
          <w:t>oña I</w:t>
        </w:r>
        <w:r w:rsidR="00D2055F" w:rsidRPr="00947A5F">
          <w:rPr>
            <w:rStyle w:val="Hipervnculo"/>
            <w:rFonts w:cs="Calibri"/>
            <w:b/>
            <w:bCs/>
            <w:noProof/>
          </w:rPr>
          <w:t>"</w:t>
        </w:r>
        <w:r w:rsidR="00D2055F" w:rsidRPr="00947A5F">
          <w:rPr>
            <w:rStyle w:val="Hipervnculo"/>
            <w:rFonts w:cs="Calibri"/>
            <w:b/>
            <w:bCs/>
            <w:noProof/>
            <w:spacing w:val="-1"/>
          </w:rPr>
          <w:t xml:space="preserve"> </w:t>
        </w:r>
        <w:r w:rsidR="00D2055F" w:rsidRPr="00947A5F">
          <w:rPr>
            <w:rStyle w:val="Hipervnculo"/>
            <w:rFonts w:cs="Calibri"/>
            <w:b/>
            <w:bCs/>
            <w:noProof/>
            <w:spacing w:val="1"/>
          </w:rPr>
          <w:t>(</w:t>
        </w:r>
        <w:r w:rsidR="00D2055F" w:rsidRPr="00947A5F">
          <w:rPr>
            <w:rStyle w:val="Hipervnculo"/>
            <w:rFonts w:cs="Calibri"/>
            <w:b/>
            <w:bCs/>
            <w:noProof/>
            <w:spacing w:val="-3"/>
          </w:rPr>
          <w:t>e</w:t>
        </w:r>
        <w:r w:rsidR="00D2055F" w:rsidRPr="00947A5F">
          <w:rPr>
            <w:rStyle w:val="Hipervnculo"/>
            <w:rFonts w:cs="Calibri"/>
            <w:b/>
            <w:bCs/>
            <w:noProof/>
          </w:rPr>
          <w:t>x</w:t>
        </w:r>
        <w:r w:rsidR="00D2055F" w:rsidRPr="00947A5F">
          <w:rPr>
            <w:rStyle w:val="Hipervnculo"/>
            <w:rFonts w:cs="Calibri"/>
            <w:b/>
            <w:bCs/>
            <w:noProof/>
            <w:spacing w:val="-2"/>
          </w:rPr>
          <w:t>p</w:t>
        </w:r>
        <w:r w:rsidR="00D2055F" w:rsidRPr="00947A5F">
          <w:rPr>
            <w:rStyle w:val="Hipervnculo"/>
            <w:rFonts w:cs="Calibri"/>
            <w:b/>
            <w:bCs/>
            <w:noProof/>
            <w:spacing w:val="-1"/>
          </w:rPr>
          <w:t>edie</w:t>
        </w:r>
        <w:r w:rsidR="00D2055F" w:rsidRPr="00947A5F">
          <w:rPr>
            <w:rStyle w:val="Hipervnculo"/>
            <w:rFonts w:cs="Calibri"/>
            <w:b/>
            <w:bCs/>
            <w:noProof/>
            <w:spacing w:val="-3"/>
          </w:rPr>
          <w:t>n</w:t>
        </w:r>
        <w:r w:rsidR="00D2055F" w:rsidRPr="00947A5F">
          <w:rPr>
            <w:rStyle w:val="Hipervnculo"/>
            <w:rFonts w:cs="Calibri"/>
            <w:b/>
            <w:bCs/>
            <w:noProof/>
            <w:spacing w:val="-2"/>
          </w:rPr>
          <w:t>t</w:t>
        </w:r>
        <w:r w:rsidR="00D2055F" w:rsidRPr="00947A5F">
          <w:rPr>
            <w:rStyle w:val="Hipervnculo"/>
            <w:rFonts w:cs="Calibri"/>
            <w:b/>
            <w:bCs/>
            <w:noProof/>
          </w:rPr>
          <w:t>e</w:t>
        </w:r>
        <w:r w:rsidR="00D2055F" w:rsidRPr="00947A5F">
          <w:rPr>
            <w:rStyle w:val="Hipervnculo"/>
            <w:rFonts w:cs="Calibri"/>
            <w:b/>
            <w:bCs/>
            <w:noProof/>
            <w:spacing w:val="-1"/>
          </w:rPr>
          <w:t xml:space="preserve"> </w:t>
        </w:r>
        <w:r w:rsidR="00D2055F" w:rsidRPr="00947A5F">
          <w:rPr>
            <w:rStyle w:val="Hipervnculo"/>
            <w:rFonts w:cstheme="minorHAnsi"/>
            <w:b/>
            <w:i/>
            <w:iCs/>
            <w:noProof/>
            <w:lang w:eastAsia="es-ES"/>
          </w:rPr>
          <w:t>IN408A 2020/24</w:t>
        </w:r>
        <w:r w:rsidR="00D2055F" w:rsidRPr="00947A5F">
          <w:rPr>
            <w:rStyle w:val="Hipervnculo"/>
            <w:rFonts w:cs="Calibri"/>
            <w:b/>
            <w:bCs/>
            <w:noProof/>
          </w:rPr>
          <w:t>)</w:t>
        </w:r>
        <w:r w:rsidR="00D2055F" w:rsidRPr="00947A5F">
          <w:rPr>
            <w:rStyle w:val="Hipervnculo"/>
            <w:rFonts w:cs="Calibri"/>
            <w:b/>
            <w:bCs/>
            <w:noProof/>
            <w:spacing w:val="-1"/>
          </w:rPr>
          <w:t xml:space="preserve"> N</w:t>
        </w:r>
        <w:r w:rsidR="00D2055F" w:rsidRPr="00947A5F">
          <w:rPr>
            <w:rStyle w:val="Hipervnculo"/>
            <w:rFonts w:cs="Calibri"/>
            <w:b/>
            <w:bCs/>
            <w:noProof/>
          </w:rPr>
          <w:t>ON</w:t>
        </w:r>
        <w:r w:rsidR="00D2055F" w:rsidRPr="00947A5F">
          <w:rPr>
            <w:rStyle w:val="Hipervnculo"/>
            <w:rFonts w:cs="Calibri"/>
            <w:b/>
            <w:bCs/>
            <w:noProof/>
            <w:spacing w:val="1"/>
          </w:rPr>
          <w:t xml:space="preserve"> </w:t>
        </w:r>
        <w:r w:rsidR="00D2055F" w:rsidRPr="00947A5F">
          <w:rPr>
            <w:rStyle w:val="Hipervnculo"/>
            <w:rFonts w:cs="Calibri"/>
            <w:b/>
            <w:bCs/>
            <w:noProof/>
            <w:spacing w:val="-2"/>
          </w:rPr>
          <w:t>X</w:t>
        </w:r>
        <w:r w:rsidR="00D2055F" w:rsidRPr="00947A5F">
          <w:rPr>
            <w:rStyle w:val="Hipervnculo"/>
            <w:rFonts w:cs="Calibri"/>
            <w:b/>
            <w:bCs/>
            <w:noProof/>
          </w:rPr>
          <w:t>U</w:t>
        </w:r>
        <w:r w:rsidR="00D2055F" w:rsidRPr="00947A5F">
          <w:rPr>
            <w:rStyle w:val="Hipervnculo"/>
            <w:rFonts w:cs="Calibri"/>
            <w:b/>
            <w:bCs/>
            <w:noProof/>
            <w:spacing w:val="-4"/>
          </w:rPr>
          <w:t>S</w:t>
        </w:r>
        <w:r w:rsidR="00D2055F" w:rsidRPr="00947A5F">
          <w:rPr>
            <w:rStyle w:val="Hipervnculo"/>
            <w:rFonts w:cs="Calibri"/>
            <w:b/>
            <w:bCs/>
            <w:noProof/>
            <w:spacing w:val="1"/>
          </w:rPr>
          <w:t>TI</w:t>
        </w:r>
        <w:r w:rsidR="00D2055F" w:rsidRPr="00947A5F">
          <w:rPr>
            <w:rStyle w:val="Hipervnculo"/>
            <w:rFonts w:cs="Calibri"/>
            <w:b/>
            <w:bCs/>
            <w:noProof/>
            <w:spacing w:val="-3"/>
          </w:rPr>
          <w:t>F</w:t>
        </w:r>
        <w:r w:rsidR="00D2055F" w:rsidRPr="00947A5F">
          <w:rPr>
            <w:rStyle w:val="Hipervnculo"/>
            <w:rFonts w:cs="Calibri"/>
            <w:b/>
            <w:bCs/>
            <w:noProof/>
            <w:spacing w:val="1"/>
          </w:rPr>
          <w:t>I</w:t>
        </w:r>
        <w:r w:rsidR="00D2055F" w:rsidRPr="00947A5F">
          <w:rPr>
            <w:rStyle w:val="Hipervnculo"/>
            <w:rFonts w:cs="Calibri"/>
            <w:b/>
            <w:bCs/>
            <w:noProof/>
            <w:spacing w:val="-2"/>
          </w:rPr>
          <w:t>C</w:t>
        </w:r>
        <w:r w:rsidR="00D2055F" w:rsidRPr="00947A5F">
          <w:rPr>
            <w:rStyle w:val="Hipervnculo"/>
            <w:rFonts w:cs="Calibri"/>
            <w:b/>
            <w:bCs/>
            <w:noProof/>
          </w:rPr>
          <w:t>A</w:t>
        </w:r>
        <w:r w:rsidR="00D2055F" w:rsidRPr="00947A5F">
          <w:rPr>
            <w:rStyle w:val="Hipervnculo"/>
            <w:rFonts w:cs="Calibri"/>
            <w:b/>
            <w:bCs/>
            <w:noProof/>
            <w:spacing w:val="1"/>
          </w:rPr>
          <w:t xml:space="preserve"> </w:t>
        </w:r>
        <w:r w:rsidR="00D2055F" w:rsidRPr="00947A5F">
          <w:rPr>
            <w:rStyle w:val="Hipervnculo"/>
            <w:rFonts w:cs="Calibri"/>
            <w:b/>
            <w:bCs/>
            <w:noProof/>
          </w:rPr>
          <w:t xml:space="preserve">a </w:t>
        </w:r>
        <w:r w:rsidR="00D2055F" w:rsidRPr="00947A5F">
          <w:rPr>
            <w:rStyle w:val="Hipervnculo"/>
            <w:rFonts w:cs="Calibri"/>
            <w:b/>
            <w:bCs/>
            <w:noProof/>
            <w:spacing w:val="-1"/>
          </w:rPr>
          <w:t>ne</w:t>
        </w:r>
        <w:r w:rsidR="00D2055F" w:rsidRPr="00947A5F">
          <w:rPr>
            <w:rStyle w:val="Hipervnculo"/>
            <w:rFonts w:cs="Calibri"/>
            <w:b/>
            <w:bCs/>
            <w:noProof/>
            <w:spacing w:val="1"/>
          </w:rPr>
          <w:t>c</w:t>
        </w:r>
        <w:r w:rsidR="00D2055F" w:rsidRPr="00947A5F">
          <w:rPr>
            <w:rStyle w:val="Hipervnculo"/>
            <w:rFonts w:cs="Calibri"/>
            <w:b/>
            <w:bCs/>
            <w:noProof/>
            <w:spacing w:val="-1"/>
          </w:rPr>
          <w:t>e</w:t>
        </w:r>
        <w:r w:rsidR="00D2055F" w:rsidRPr="00947A5F">
          <w:rPr>
            <w:rStyle w:val="Hipervnculo"/>
            <w:rFonts w:cs="Calibri"/>
            <w:b/>
            <w:bCs/>
            <w:noProof/>
          </w:rPr>
          <w:t>s</w:t>
        </w:r>
        <w:r w:rsidR="00D2055F" w:rsidRPr="00947A5F">
          <w:rPr>
            <w:rStyle w:val="Hipervnculo"/>
            <w:rFonts w:cs="Calibri"/>
            <w:b/>
            <w:bCs/>
            <w:noProof/>
            <w:spacing w:val="1"/>
          </w:rPr>
          <w:t>i</w:t>
        </w:r>
        <w:r w:rsidR="00D2055F" w:rsidRPr="00947A5F">
          <w:rPr>
            <w:rStyle w:val="Hipervnculo"/>
            <w:rFonts w:cs="Calibri"/>
            <w:b/>
            <w:bCs/>
            <w:noProof/>
            <w:spacing w:val="-1"/>
          </w:rPr>
          <w:t>dad</w:t>
        </w:r>
        <w:r w:rsidR="00D2055F" w:rsidRPr="00947A5F">
          <w:rPr>
            <w:rStyle w:val="Hipervnculo"/>
            <w:rFonts w:cs="Calibri"/>
            <w:b/>
            <w:bCs/>
            <w:noProof/>
          </w:rPr>
          <w:t>e</w:t>
        </w:r>
        <w:r w:rsidR="00D2055F" w:rsidRPr="00947A5F">
          <w:rPr>
            <w:rStyle w:val="Hipervnculo"/>
            <w:rFonts w:cs="Calibri"/>
            <w:b/>
            <w:bCs/>
            <w:noProof/>
            <w:spacing w:val="-1"/>
          </w:rPr>
          <w:t xml:space="preserve"> </w:t>
        </w:r>
        <w:r w:rsidR="00D2055F" w:rsidRPr="00947A5F">
          <w:rPr>
            <w:rStyle w:val="Hipervnculo"/>
            <w:rFonts w:cs="Calibri"/>
            <w:b/>
            <w:bCs/>
            <w:noProof/>
          </w:rPr>
          <w:t>da</w:t>
        </w:r>
        <w:r w:rsidR="00D2055F" w:rsidRPr="00947A5F">
          <w:rPr>
            <w:rStyle w:val="Hipervnculo"/>
            <w:rFonts w:cs="Calibri"/>
            <w:b/>
            <w:bCs/>
            <w:noProof/>
            <w:spacing w:val="-1"/>
          </w:rPr>
          <w:t xml:space="preserve"> </w:t>
        </w:r>
        <w:r w:rsidR="00D2055F" w:rsidRPr="00947A5F">
          <w:rPr>
            <w:rStyle w:val="Hipervnculo"/>
            <w:rFonts w:cs="Calibri"/>
            <w:b/>
            <w:bCs/>
            <w:noProof/>
          </w:rPr>
          <w:t>d</w:t>
        </w:r>
        <w:r w:rsidR="00D2055F" w:rsidRPr="00947A5F">
          <w:rPr>
            <w:rStyle w:val="Hipervnculo"/>
            <w:rFonts w:cs="Calibri"/>
            <w:b/>
            <w:bCs/>
            <w:noProof/>
            <w:spacing w:val="-1"/>
          </w:rPr>
          <w:t>e</w:t>
        </w:r>
        <w:r w:rsidR="00D2055F" w:rsidRPr="00947A5F">
          <w:rPr>
            <w:rStyle w:val="Hipervnculo"/>
            <w:rFonts w:cs="Calibri"/>
            <w:b/>
            <w:bCs/>
            <w:noProof/>
          </w:rPr>
          <w:t>smesu</w:t>
        </w:r>
        <w:r w:rsidR="00D2055F" w:rsidRPr="00947A5F">
          <w:rPr>
            <w:rStyle w:val="Hipervnculo"/>
            <w:rFonts w:cs="Calibri"/>
            <w:b/>
            <w:bCs/>
            <w:noProof/>
            <w:spacing w:val="-5"/>
          </w:rPr>
          <w:t>r</w:t>
        </w:r>
        <w:r w:rsidR="00D2055F" w:rsidRPr="00947A5F">
          <w:rPr>
            <w:rStyle w:val="Hipervnculo"/>
            <w:rFonts w:cs="Calibri"/>
            <w:b/>
            <w:bCs/>
            <w:noProof/>
            <w:spacing w:val="-3"/>
          </w:rPr>
          <w:t>a</w:t>
        </w:r>
        <w:r w:rsidR="00D2055F" w:rsidRPr="00947A5F">
          <w:rPr>
            <w:rStyle w:val="Hipervnculo"/>
            <w:rFonts w:cs="Calibri"/>
            <w:b/>
            <w:bCs/>
            <w:noProof/>
            <w:spacing w:val="-1"/>
          </w:rPr>
          <w:t>d</w:t>
        </w:r>
        <w:r w:rsidR="00D2055F" w:rsidRPr="00947A5F">
          <w:rPr>
            <w:rStyle w:val="Hipervnculo"/>
            <w:rFonts w:cs="Calibri"/>
            <w:b/>
            <w:bCs/>
            <w:noProof/>
          </w:rPr>
          <w:t>a</w:t>
        </w:r>
        <w:r w:rsidR="00D2055F" w:rsidRPr="00947A5F">
          <w:rPr>
            <w:rStyle w:val="Hipervnculo"/>
            <w:rFonts w:cs="Calibri"/>
            <w:b/>
            <w:bCs/>
            <w:noProof/>
            <w:spacing w:val="1"/>
          </w:rPr>
          <w:t xml:space="preserve"> </w:t>
        </w:r>
        <w:r w:rsidR="00D2055F" w:rsidRPr="00947A5F">
          <w:rPr>
            <w:rStyle w:val="Hipervnculo"/>
            <w:rFonts w:cs="Calibri"/>
            <w:b/>
            <w:bCs/>
            <w:noProof/>
            <w:spacing w:val="-1"/>
          </w:rPr>
          <w:t>o</w:t>
        </w:r>
        <w:r w:rsidR="00D2055F" w:rsidRPr="00947A5F">
          <w:rPr>
            <w:rStyle w:val="Hipervnculo"/>
            <w:rFonts w:cs="Calibri"/>
            <w:b/>
            <w:bCs/>
            <w:noProof/>
            <w:spacing w:val="1"/>
          </w:rPr>
          <w:t>c</w:t>
        </w:r>
        <w:r w:rsidR="00D2055F" w:rsidRPr="00947A5F">
          <w:rPr>
            <w:rStyle w:val="Hipervnculo"/>
            <w:rFonts w:cs="Calibri"/>
            <w:b/>
            <w:bCs/>
            <w:noProof/>
            <w:spacing w:val="-1"/>
          </w:rPr>
          <w:t>upa</w:t>
        </w:r>
        <w:r w:rsidR="00D2055F" w:rsidRPr="00947A5F">
          <w:rPr>
            <w:rStyle w:val="Hipervnculo"/>
            <w:rFonts w:cs="Calibri"/>
            <w:b/>
            <w:bCs/>
            <w:noProof/>
            <w:spacing w:val="1"/>
          </w:rPr>
          <w:t>ci</w:t>
        </w:r>
        <w:r w:rsidR="00D2055F" w:rsidRPr="00947A5F">
          <w:rPr>
            <w:rStyle w:val="Hipervnculo"/>
            <w:rFonts w:cs="Calibri"/>
            <w:b/>
            <w:bCs/>
            <w:noProof/>
            <w:spacing w:val="-1"/>
          </w:rPr>
          <w:t>ó</w:t>
        </w:r>
        <w:r w:rsidR="00D2055F" w:rsidRPr="00947A5F">
          <w:rPr>
            <w:rStyle w:val="Hipervnculo"/>
            <w:rFonts w:cs="Calibri"/>
            <w:b/>
            <w:bCs/>
            <w:noProof/>
          </w:rPr>
          <w:t>n</w:t>
        </w:r>
        <w:r w:rsidR="00D2055F" w:rsidRPr="00947A5F">
          <w:rPr>
            <w:rStyle w:val="Hipervnculo"/>
            <w:rFonts w:cs="Calibri"/>
            <w:b/>
            <w:bCs/>
            <w:noProof/>
            <w:spacing w:val="-1"/>
          </w:rPr>
          <w:t xml:space="preserve"> </w:t>
        </w:r>
        <w:r w:rsidR="00D2055F" w:rsidRPr="00947A5F">
          <w:rPr>
            <w:rStyle w:val="Hipervnculo"/>
            <w:rFonts w:cs="Calibri"/>
            <w:b/>
            <w:bCs/>
            <w:noProof/>
          </w:rPr>
          <w:t>d</w:t>
        </w:r>
        <w:r w:rsidR="00D2055F" w:rsidRPr="00947A5F">
          <w:rPr>
            <w:rStyle w:val="Hipervnculo"/>
            <w:rFonts w:cs="Calibri"/>
            <w:b/>
            <w:bCs/>
            <w:noProof/>
            <w:spacing w:val="-1"/>
          </w:rPr>
          <w:t>unh</w:t>
        </w:r>
        <w:r w:rsidR="00D2055F" w:rsidRPr="00947A5F">
          <w:rPr>
            <w:rStyle w:val="Hipervnculo"/>
            <w:rFonts w:cs="Calibri"/>
            <w:b/>
            <w:bCs/>
            <w:noProof/>
          </w:rPr>
          <w:t>a</w:t>
        </w:r>
        <w:r w:rsidR="00D2055F" w:rsidRPr="00947A5F">
          <w:rPr>
            <w:rStyle w:val="Hipervnculo"/>
            <w:rFonts w:cs="Calibri"/>
            <w:b/>
            <w:bCs/>
            <w:noProof/>
            <w:spacing w:val="-1"/>
          </w:rPr>
          <w:t xml:space="preserve"> </w:t>
        </w:r>
        <w:r w:rsidR="00D2055F" w:rsidRPr="00947A5F">
          <w:rPr>
            <w:rStyle w:val="Hipervnculo"/>
            <w:rFonts w:cs="Calibri"/>
            <w:b/>
            <w:bCs/>
            <w:noProof/>
            <w:spacing w:val="1"/>
          </w:rPr>
          <w:t>s</w:t>
        </w:r>
        <w:r w:rsidR="00D2055F" w:rsidRPr="00947A5F">
          <w:rPr>
            <w:rStyle w:val="Hipervnculo"/>
            <w:rFonts w:cs="Calibri"/>
            <w:b/>
            <w:bCs/>
            <w:noProof/>
            <w:spacing w:val="-1"/>
          </w:rPr>
          <w:t>upe</w:t>
        </w:r>
        <w:r w:rsidR="00D2055F" w:rsidRPr="00947A5F">
          <w:rPr>
            <w:rStyle w:val="Hipervnculo"/>
            <w:rFonts w:cs="Calibri"/>
            <w:b/>
            <w:bCs/>
            <w:noProof/>
            <w:spacing w:val="1"/>
          </w:rPr>
          <w:t>r</w:t>
        </w:r>
        <w:r w:rsidR="00D2055F" w:rsidRPr="00947A5F">
          <w:rPr>
            <w:rStyle w:val="Hipervnculo"/>
            <w:rFonts w:cs="Calibri"/>
            <w:b/>
            <w:bCs/>
            <w:noProof/>
          </w:rPr>
          <w:t>fi</w:t>
        </w:r>
        <w:r w:rsidR="00D2055F" w:rsidRPr="00947A5F">
          <w:rPr>
            <w:rStyle w:val="Hipervnculo"/>
            <w:rFonts w:cs="Calibri"/>
            <w:b/>
            <w:bCs/>
            <w:noProof/>
            <w:spacing w:val="-1"/>
          </w:rPr>
          <w:t>c</w:t>
        </w:r>
        <w:r w:rsidR="00D2055F" w:rsidRPr="00947A5F">
          <w:rPr>
            <w:rStyle w:val="Hipervnculo"/>
            <w:rFonts w:cs="Calibri"/>
            <w:b/>
            <w:bCs/>
            <w:noProof/>
            <w:spacing w:val="1"/>
          </w:rPr>
          <w:t>i</w:t>
        </w:r>
        <w:r w:rsidR="00D2055F" w:rsidRPr="00947A5F">
          <w:rPr>
            <w:rStyle w:val="Hipervnculo"/>
            <w:rFonts w:cs="Calibri"/>
            <w:b/>
            <w:bCs/>
            <w:noProof/>
          </w:rPr>
          <w:t>e</w:t>
        </w:r>
        <w:r w:rsidR="00D2055F" w:rsidRPr="00947A5F">
          <w:rPr>
            <w:rStyle w:val="Hipervnculo"/>
            <w:rFonts w:cs="Calibri"/>
            <w:b/>
            <w:bCs/>
            <w:noProof/>
            <w:spacing w:val="1"/>
          </w:rPr>
          <w:t xml:space="preserve"> </w:t>
        </w:r>
        <w:r w:rsidR="00D2055F" w:rsidRPr="00947A5F">
          <w:rPr>
            <w:rStyle w:val="Hipervnculo"/>
            <w:rFonts w:cs="Calibri"/>
            <w:b/>
            <w:bCs/>
            <w:noProof/>
            <w:spacing w:val="-1"/>
          </w:rPr>
          <w:t>d</w:t>
        </w:r>
        <w:r w:rsidR="00D2055F" w:rsidRPr="00947A5F">
          <w:rPr>
            <w:rStyle w:val="Hipervnculo"/>
            <w:rFonts w:cs="Calibri"/>
            <w:b/>
            <w:bCs/>
            <w:noProof/>
          </w:rPr>
          <w:t>e</w:t>
        </w:r>
        <w:r w:rsidR="00D2055F" w:rsidRPr="00947A5F">
          <w:rPr>
            <w:rStyle w:val="Hipervnculo"/>
            <w:rFonts w:cs="Calibri"/>
            <w:b/>
            <w:bCs/>
            <w:noProof/>
            <w:spacing w:val="-1"/>
          </w:rPr>
          <w:t xml:space="preserve"> 13,84</w:t>
        </w:r>
        <w:r w:rsidR="00D2055F" w:rsidRPr="00947A5F">
          <w:rPr>
            <w:rStyle w:val="Hipervnculo"/>
            <w:rFonts w:cs="Calibri"/>
            <w:b/>
            <w:bCs/>
            <w:noProof/>
            <w:spacing w:val="1"/>
          </w:rPr>
          <w:t xml:space="preserve"> </w:t>
        </w:r>
        <w:r w:rsidR="00D2055F" w:rsidRPr="00947A5F">
          <w:rPr>
            <w:rStyle w:val="Hipervnculo"/>
            <w:rFonts w:cs="Calibri"/>
            <w:b/>
            <w:bCs/>
            <w:noProof/>
          </w:rPr>
          <w:t>q</w:t>
        </w:r>
        <w:r w:rsidR="00D2055F" w:rsidRPr="00947A5F">
          <w:rPr>
            <w:rStyle w:val="Hipervnculo"/>
            <w:rFonts w:cs="Calibri"/>
            <w:b/>
            <w:bCs/>
            <w:noProof/>
            <w:spacing w:val="-1"/>
          </w:rPr>
          <w:t>ui</w:t>
        </w:r>
        <w:r w:rsidR="00D2055F" w:rsidRPr="00947A5F">
          <w:rPr>
            <w:rStyle w:val="Hipervnculo"/>
            <w:rFonts w:cs="Calibri"/>
            <w:b/>
            <w:bCs/>
            <w:noProof/>
            <w:spacing w:val="1"/>
          </w:rPr>
          <w:t>l</w:t>
        </w:r>
        <w:r w:rsidR="00D2055F" w:rsidRPr="00947A5F">
          <w:rPr>
            <w:rStyle w:val="Hipervnculo"/>
            <w:rFonts w:cs="Calibri"/>
            <w:b/>
            <w:bCs/>
            <w:noProof/>
            <w:spacing w:val="-1"/>
          </w:rPr>
          <w:t>ó</w:t>
        </w:r>
        <w:r w:rsidR="00D2055F" w:rsidRPr="00947A5F">
          <w:rPr>
            <w:rStyle w:val="Hipervnculo"/>
            <w:rFonts w:cs="Calibri"/>
            <w:b/>
            <w:bCs/>
            <w:noProof/>
          </w:rPr>
          <w:t>m</w:t>
        </w:r>
        <w:r w:rsidR="00D2055F" w:rsidRPr="00947A5F">
          <w:rPr>
            <w:rStyle w:val="Hipervnculo"/>
            <w:rFonts w:cs="Calibri"/>
            <w:b/>
            <w:bCs/>
            <w:noProof/>
            <w:spacing w:val="-3"/>
          </w:rPr>
          <w:t>e</w:t>
        </w:r>
        <w:r w:rsidR="00D2055F" w:rsidRPr="00947A5F">
          <w:rPr>
            <w:rStyle w:val="Hipervnculo"/>
            <w:rFonts w:cs="Calibri"/>
            <w:b/>
            <w:bCs/>
            <w:noProof/>
          </w:rPr>
          <w:t>t</w:t>
        </w:r>
        <w:r w:rsidR="00D2055F" w:rsidRPr="00947A5F">
          <w:rPr>
            <w:rStyle w:val="Hipervnculo"/>
            <w:rFonts w:cs="Calibri"/>
            <w:b/>
            <w:bCs/>
            <w:noProof/>
            <w:spacing w:val="-1"/>
          </w:rPr>
          <w:t>ro</w:t>
        </w:r>
        <w:r w:rsidR="00D2055F" w:rsidRPr="00947A5F">
          <w:rPr>
            <w:rStyle w:val="Hipervnculo"/>
            <w:rFonts w:cs="Calibri"/>
            <w:b/>
            <w:bCs/>
            <w:noProof/>
          </w:rPr>
          <w:t>s</w:t>
        </w:r>
        <w:r w:rsidR="00D2055F" w:rsidRPr="00947A5F">
          <w:rPr>
            <w:rStyle w:val="Hipervnculo"/>
            <w:rFonts w:cs="Calibri"/>
            <w:b/>
            <w:bCs/>
            <w:noProof/>
            <w:spacing w:val="-1"/>
          </w:rPr>
          <w:t xml:space="preserve"> cad</w:t>
        </w:r>
        <w:r w:rsidR="00D2055F" w:rsidRPr="00947A5F">
          <w:rPr>
            <w:rStyle w:val="Hipervnculo"/>
            <w:rFonts w:cs="Calibri"/>
            <w:b/>
            <w:bCs/>
            <w:noProof/>
            <w:spacing w:val="-4"/>
          </w:rPr>
          <w:t>r</w:t>
        </w:r>
        <w:r w:rsidR="00D2055F" w:rsidRPr="00947A5F">
          <w:rPr>
            <w:rStyle w:val="Hipervnculo"/>
            <w:rFonts w:cs="Calibri"/>
            <w:b/>
            <w:bCs/>
            <w:noProof/>
            <w:spacing w:val="-1"/>
          </w:rPr>
          <w:t>ado</w:t>
        </w:r>
        <w:r w:rsidR="00D2055F" w:rsidRPr="00947A5F">
          <w:rPr>
            <w:rStyle w:val="Hipervnculo"/>
            <w:rFonts w:cs="Calibri"/>
            <w:b/>
            <w:bCs/>
            <w:noProof/>
          </w:rPr>
          <w:t>s</w:t>
        </w:r>
        <w:r w:rsidR="00D2055F" w:rsidRPr="00947A5F">
          <w:rPr>
            <w:rStyle w:val="Hipervnculo"/>
            <w:rFonts w:cs="Calibri"/>
            <w:b/>
            <w:bCs/>
            <w:noProof/>
            <w:spacing w:val="1"/>
          </w:rPr>
          <w:t xml:space="preserve"> (1.384,45</w:t>
        </w:r>
        <w:r w:rsidR="00D2055F" w:rsidRPr="00947A5F">
          <w:rPr>
            <w:rStyle w:val="Hipervnculo"/>
            <w:rFonts w:cs="Calibri"/>
            <w:b/>
            <w:bCs/>
            <w:noProof/>
            <w:spacing w:val="-1"/>
          </w:rPr>
          <w:t xml:space="preserve"> </w:t>
        </w:r>
        <w:r w:rsidR="00D2055F" w:rsidRPr="00947A5F">
          <w:rPr>
            <w:rStyle w:val="Hipervnculo"/>
            <w:rFonts w:cs="Calibri"/>
            <w:b/>
            <w:bCs/>
            <w:noProof/>
          </w:rPr>
          <w:t>h</w:t>
        </w:r>
        <w:r w:rsidR="00D2055F" w:rsidRPr="00947A5F">
          <w:rPr>
            <w:rStyle w:val="Hipervnculo"/>
            <w:rFonts w:cs="Calibri"/>
            <w:b/>
            <w:bCs/>
            <w:noProof/>
            <w:spacing w:val="-1"/>
          </w:rPr>
          <w:t>a</w:t>
        </w:r>
        <w:r w:rsidR="00D2055F" w:rsidRPr="00947A5F">
          <w:rPr>
            <w:rStyle w:val="Hipervnculo"/>
            <w:rFonts w:cs="Calibri"/>
            <w:b/>
            <w:bCs/>
            <w:noProof/>
          </w:rPr>
          <w:t xml:space="preserve">) </w:t>
        </w:r>
        <w:r w:rsidR="00D2055F" w:rsidRPr="00947A5F">
          <w:rPr>
            <w:rStyle w:val="Hipervnculo"/>
            <w:rFonts w:cs="Calibri"/>
            <w:b/>
            <w:bCs/>
            <w:noProof/>
            <w:spacing w:val="-1"/>
          </w:rPr>
          <w:t>para a implantación de tan so 4 aeroxeradores</w:t>
        </w:r>
        <w:r w:rsidR="00D2055F" w:rsidRPr="00947A5F">
          <w:rPr>
            <w:rStyle w:val="Hipervnculo"/>
            <w:rFonts w:cs="Calibri"/>
            <w:b/>
            <w:bCs/>
            <w:noProof/>
          </w:rPr>
          <w:t>.</w:t>
        </w:r>
        <w:r w:rsidR="00D2055F">
          <w:rPr>
            <w:noProof/>
            <w:webHidden/>
          </w:rPr>
          <w:tab/>
        </w:r>
        <w:r w:rsidR="00D2055F">
          <w:rPr>
            <w:noProof/>
            <w:webHidden/>
          </w:rPr>
          <w:fldChar w:fldCharType="begin"/>
        </w:r>
        <w:r w:rsidR="00D2055F">
          <w:rPr>
            <w:noProof/>
            <w:webHidden/>
          </w:rPr>
          <w:instrText xml:space="preserve"> PAGEREF _Toc132510960 \h </w:instrText>
        </w:r>
        <w:r w:rsidR="00D2055F">
          <w:rPr>
            <w:noProof/>
            <w:webHidden/>
          </w:rPr>
        </w:r>
        <w:r w:rsidR="00D2055F">
          <w:rPr>
            <w:noProof/>
            <w:webHidden/>
          </w:rPr>
          <w:fldChar w:fldCharType="separate"/>
        </w:r>
        <w:r w:rsidR="00421DFA">
          <w:rPr>
            <w:noProof/>
            <w:webHidden/>
          </w:rPr>
          <w:t>37</w:t>
        </w:r>
        <w:r w:rsidR="00D2055F">
          <w:rPr>
            <w:noProof/>
            <w:webHidden/>
          </w:rPr>
          <w:fldChar w:fldCharType="end"/>
        </w:r>
      </w:hyperlink>
    </w:p>
    <w:p w14:paraId="302FF698" w14:textId="77777777" w:rsidR="00D2055F" w:rsidRDefault="0017543F">
      <w:pPr>
        <w:pStyle w:val="TDC1"/>
        <w:rPr>
          <w:rFonts w:asciiTheme="minorHAnsi" w:eastAsiaTheme="minorEastAsia" w:hAnsiTheme="minorHAnsi" w:cstheme="minorBidi"/>
          <w:noProof/>
          <w:lang w:eastAsia="es-ES"/>
        </w:rPr>
      </w:pPr>
      <w:hyperlink w:anchor="_Toc132510961" w:history="1">
        <w:r w:rsidR="00D2055F" w:rsidRPr="00947A5F">
          <w:rPr>
            <w:rStyle w:val="Hipervnculo"/>
            <w:rFonts w:cs="Calibri"/>
            <w:b/>
            <w:noProof/>
          </w:rPr>
          <w:t>ALEGACIÓN 22.-</w:t>
        </w:r>
        <w:r w:rsidR="00D2055F" w:rsidRPr="00947A5F">
          <w:rPr>
            <w:rStyle w:val="Hipervnculo"/>
            <w:rFonts w:cs="Calibri"/>
            <w:noProof/>
          </w:rPr>
          <w:t xml:space="preserve"> </w:t>
        </w:r>
        <w:r w:rsidR="00D2055F" w:rsidRPr="00947A5F">
          <w:rPr>
            <w:rStyle w:val="Hipervnculo"/>
            <w:rFonts w:cs="Calibri"/>
            <w:b/>
            <w:bCs/>
            <w:noProof/>
          </w:rPr>
          <w:t xml:space="preserve">O </w:t>
        </w:r>
        <w:r w:rsidR="00D2055F" w:rsidRPr="00947A5F">
          <w:rPr>
            <w:rStyle w:val="Hipervnculo"/>
            <w:rFonts w:cs="Calibri"/>
            <w:b/>
            <w:bCs/>
            <w:noProof/>
            <w:spacing w:val="-1"/>
          </w:rPr>
          <w:t>p</w:t>
        </w:r>
        <w:r w:rsidR="00D2055F" w:rsidRPr="00947A5F">
          <w:rPr>
            <w:rStyle w:val="Hipervnculo"/>
            <w:rFonts w:cs="Calibri"/>
            <w:b/>
            <w:bCs/>
            <w:noProof/>
            <w:spacing w:val="-2"/>
          </w:rPr>
          <w:t>r</w:t>
        </w:r>
        <w:r w:rsidR="00D2055F" w:rsidRPr="00947A5F">
          <w:rPr>
            <w:rStyle w:val="Hipervnculo"/>
            <w:rFonts w:cs="Calibri"/>
            <w:b/>
            <w:bCs/>
            <w:noProof/>
            <w:spacing w:val="-6"/>
          </w:rPr>
          <w:t>o</w:t>
        </w:r>
        <w:r w:rsidR="00D2055F" w:rsidRPr="00947A5F">
          <w:rPr>
            <w:rStyle w:val="Hipervnculo"/>
            <w:rFonts w:cs="Calibri"/>
            <w:b/>
            <w:bCs/>
            <w:noProof/>
            <w:spacing w:val="-5"/>
          </w:rPr>
          <w:t>x</w:t>
        </w:r>
        <w:r w:rsidR="00D2055F" w:rsidRPr="00947A5F">
          <w:rPr>
            <w:rStyle w:val="Hipervnculo"/>
            <w:rFonts w:cs="Calibri"/>
            <w:b/>
            <w:bCs/>
            <w:noProof/>
            <w:spacing w:val="-1"/>
          </w:rPr>
          <w:t>e</w:t>
        </w:r>
        <w:r w:rsidR="00D2055F" w:rsidRPr="00947A5F">
          <w:rPr>
            <w:rStyle w:val="Hipervnculo"/>
            <w:rFonts w:cs="Calibri"/>
            <w:b/>
            <w:bCs/>
            <w:noProof/>
            <w:spacing w:val="1"/>
          </w:rPr>
          <w:t>c</w:t>
        </w:r>
        <w:r w:rsidR="00D2055F" w:rsidRPr="00947A5F">
          <w:rPr>
            <w:rStyle w:val="Hipervnculo"/>
            <w:rFonts w:cs="Calibri"/>
            <w:b/>
            <w:bCs/>
            <w:noProof/>
            <w:spacing w:val="-2"/>
          </w:rPr>
          <w:t>t</w:t>
        </w:r>
        <w:r w:rsidR="00D2055F" w:rsidRPr="00947A5F">
          <w:rPr>
            <w:rStyle w:val="Hipervnculo"/>
            <w:rFonts w:cs="Calibri"/>
            <w:b/>
            <w:bCs/>
            <w:noProof/>
          </w:rPr>
          <w:t>o</w:t>
        </w:r>
        <w:r w:rsidR="00D2055F" w:rsidRPr="00947A5F">
          <w:rPr>
            <w:rStyle w:val="Hipervnculo"/>
            <w:rFonts w:cs="Calibri"/>
            <w:b/>
            <w:bCs/>
            <w:noProof/>
            <w:spacing w:val="-1"/>
          </w:rPr>
          <w:t xml:space="preserve"> </w:t>
        </w:r>
        <w:r w:rsidR="00D2055F" w:rsidRPr="00947A5F">
          <w:rPr>
            <w:rStyle w:val="Hipervnculo"/>
            <w:rFonts w:cs="Calibri"/>
            <w:b/>
            <w:bCs/>
            <w:noProof/>
            <w:spacing w:val="1"/>
          </w:rPr>
          <w:t>I</w:t>
        </w:r>
        <w:r w:rsidR="00D2055F" w:rsidRPr="00947A5F">
          <w:rPr>
            <w:rStyle w:val="Hipervnculo"/>
            <w:rFonts w:cs="Calibri"/>
            <w:b/>
            <w:bCs/>
            <w:noProof/>
            <w:spacing w:val="-1"/>
          </w:rPr>
          <w:t>ndu</w:t>
        </w:r>
        <w:r w:rsidR="00D2055F" w:rsidRPr="00947A5F">
          <w:rPr>
            <w:rStyle w:val="Hipervnculo"/>
            <w:rFonts w:cs="Calibri"/>
            <w:b/>
            <w:bCs/>
            <w:noProof/>
            <w:spacing w:val="-2"/>
          </w:rPr>
          <w:t>st</w:t>
        </w:r>
        <w:r w:rsidR="00D2055F" w:rsidRPr="00947A5F">
          <w:rPr>
            <w:rStyle w:val="Hipervnculo"/>
            <w:rFonts w:cs="Calibri"/>
            <w:b/>
            <w:bCs/>
            <w:noProof/>
            <w:spacing w:val="1"/>
          </w:rPr>
          <w:t>ri</w:t>
        </w:r>
        <w:r w:rsidR="00D2055F" w:rsidRPr="00947A5F">
          <w:rPr>
            <w:rStyle w:val="Hipervnculo"/>
            <w:rFonts w:cs="Calibri"/>
            <w:b/>
            <w:bCs/>
            <w:noProof/>
            <w:spacing w:val="-3"/>
          </w:rPr>
          <w:t>a</w:t>
        </w:r>
        <w:r w:rsidR="00D2055F" w:rsidRPr="00947A5F">
          <w:rPr>
            <w:rStyle w:val="Hipervnculo"/>
            <w:rFonts w:cs="Calibri"/>
            <w:b/>
            <w:bCs/>
            <w:noProof/>
          </w:rPr>
          <w:t>l</w:t>
        </w:r>
        <w:r w:rsidR="00D2055F" w:rsidRPr="00947A5F">
          <w:rPr>
            <w:rStyle w:val="Hipervnculo"/>
            <w:rFonts w:cs="Calibri"/>
            <w:b/>
            <w:bCs/>
            <w:noProof/>
            <w:spacing w:val="1"/>
          </w:rPr>
          <w:t xml:space="preserve"> </w:t>
        </w:r>
        <w:r w:rsidR="00D2055F" w:rsidRPr="00947A5F">
          <w:rPr>
            <w:rStyle w:val="Hipervnculo"/>
            <w:rFonts w:cs="Calibri"/>
            <w:b/>
            <w:bCs/>
            <w:noProof/>
          </w:rPr>
          <w:t>"</w:t>
        </w:r>
        <w:r w:rsidR="00D2055F" w:rsidRPr="00947A5F">
          <w:rPr>
            <w:rStyle w:val="Hipervnculo"/>
            <w:rFonts w:cs="Calibri"/>
            <w:b/>
            <w:bCs/>
            <w:noProof/>
            <w:spacing w:val="-5"/>
          </w:rPr>
          <w:t>P</w:t>
        </w:r>
        <w:r w:rsidR="00D2055F" w:rsidRPr="00947A5F">
          <w:rPr>
            <w:rStyle w:val="Hipervnculo"/>
            <w:rFonts w:cs="Calibri"/>
            <w:b/>
            <w:bCs/>
            <w:noProof/>
          </w:rPr>
          <w:t>a</w:t>
        </w:r>
        <w:r w:rsidR="00D2055F" w:rsidRPr="00947A5F">
          <w:rPr>
            <w:rStyle w:val="Hipervnculo"/>
            <w:rFonts w:cs="Calibri"/>
            <w:b/>
            <w:bCs/>
            <w:noProof/>
            <w:spacing w:val="-4"/>
          </w:rPr>
          <w:t>r</w:t>
        </w:r>
        <w:r w:rsidR="00D2055F" w:rsidRPr="00947A5F">
          <w:rPr>
            <w:rStyle w:val="Hipervnculo"/>
            <w:rFonts w:cs="Calibri"/>
            <w:b/>
            <w:bCs/>
            <w:noProof/>
            <w:spacing w:val="-1"/>
          </w:rPr>
          <w:t>qu</w:t>
        </w:r>
        <w:r w:rsidR="00D2055F" w:rsidRPr="00947A5F">
          <w:rPr>
            <w:rStyle w:val="Hipervnculo"/>
            <w:rFonts w:cs="Calibri"/>
            <w:b/>
            <w:bCs/>
            <w:noProof/>
          </w:rPr>
          <w:t>e</w:t>
        </w:r>
        <w:r w:rsidR="00D2055F" w:rsidRPr="00947A5F">
          <w:rPr>
            <w:rStyle w:val="Hipervnculo"/>
            <w:rFonts w:cs="Calibri"/>
            <w:b/>
            <w:bCs/>
            <w:noProof/>
            <w:spacing w:val="-1"/>
          </w:rPr>
          <w:t xml:space="preserve"> </w:t>
        </w:r>
        <w:r w:rsidR="00D2055F" w:rsidRPr="00947A5F">
          <w:rPr>
            <w:rStyle w:val="Hipervnculo"/>
            <w:rFonts w:cs="Calibri"/>
            <w:b/>
            <w:bCs/>
            <w:noProof/>
            <w:spacing w:val="-4"/>
          </w:rPr>
          <w:t>E</w:t>
        </w:r>
        <w:r w:rsidR="00D2055F" w:rsidRPr="00947A5F">
          <w:rPr>
            <w:rStyle w:val="Hipervnculo"/>
            <w:rFonts w:cs="Calibri"/>
            <w:b/>
            <w:bCs/>
            <w:noProof/>
            <w:spacing w:val="-1"/>
          </w:rPr>
          <w:t>ó</w:t>
        </w:r>
        <w:r w:rsidR="00D2055F" w:rsidRPr="00947A5F">
          <w:rPr>
            <w:rStyle w:val="Hipervnculo"/>
            <w:rFonts w:cs="Calibri"/>
            <w:b/>
            <w:bCs/>
            <w:noProof/>
            <w:spacing w:val="1"/>
          </w:rPr>
          <w:t>lic</w:t>
        </w:r>
        <w:r w:rsidR="00D2055F" w:rsidRPr="00947A5F">
          <w:rPr>
            <w:rStyle w:val="Hipervnculo"/>
            <w:rFonts w:cs="Calibri"/>
            <w:b/>
            <w:bCs/>
            <w:noProof/>
          </w:rPr>
          <w:t>o</w:t>
        </w:r>
        <w:r w:rsidR="00D2055F" w:rsidRPr="00947A5F">
          <w:rPr>
            <w:rStyle w:val="Hipervnculo"/>
            <w:rFonts w:cs="Calibri"/>
            <w:b/>
            <w:bCs/>
            <w:noProof/>
            <w:spacing w:val="-3"/>
          </w:rPr>
          <w:t xml:space="preserve"> </w:t>
        </w:r>
        <w:r w:rsidR="00D2055F" w:rsidRPr="00947A5F">
          <w:rPr>
            <w:rStyle w:val="Hipervnculo"/>
            <w:rFonts w:cs="Calibri"/>
            <w:b/>
            <w:bCs/>
            <w:noProof/>
            <w:spacing w:val="-18"/>
          </w:rPr>
          <w:t>T</w:t>
        </w:r>
        <w:r w:rsidR="00D2055F" w:rsidRPr="00947A5F">
          <w:rPr>
            <w:rStyle w:val="Hipervnculo"/>
            <w:rFonts w:cs="Calibri"/>
            <w:b/>
            <w:bCs/>
            <w:noProof/>
            <w:spacing w:val="-1"/>
          </w:rPr>
          <w:t>or</w:t>
        </w:r>
        <w:r w:rsidR="00D2055F" w:rsidRPr="00947A5F">
          <w:rPr>
            <w:rStyle w:val="Hipervnculo"/>
            <w:rFonts w:cs="Calibri"/>
            <w:b/>
            <w:bCs/>
            <w:noProof/>
            <w:spacing w:val="-2"/>
          </w:rPr>
          <w:t>r</w:t>
        </w:r>
        <w:r w:rsidR="00D2055F" w:rsidRPr="00947A5F">
          <w:rPr>
            <w:rStyle w:val="Hipervnculo"/>
            <w:rFonts w:cs="Calibri"/>
            <w:b/>
            <w:bCs/>
            <w:noProof/>
            <w:spacing w:val="-1"/>
          </w:rPr>
          <w:t>oña I</w:t>
        </w:r>
        <w:r w:rsidR="00D2055F" w:rsidRPr="00947A5F">
          <w:rPr>
            <w:rStyle w:val="Hipervnculo"/>
            <w:rFonts w:cs="Calibri"/>
            <w:b/>
            <w:bCs/>
            <w:noProof/>
          </w:rPr>
          <w:t>" está ubicado nunha zona calificada como de Máxima Sensibilidade Ambiental polo que non se recomenda a instalación de este tipo de infraestructuras.</w:t>
        </w:r>
        <w:r w:rsidR="00D2055F">
          <w:rPr>
            <w:noProof/>
            <w:webHidden/>
          </w:rPr>
          <w:tab/>
        </w:r>
        <w:r w:rsidR="00D2055F">
          <w:rPr>
            <w:noProof/>
            <w:webHidden/>
          </w:rPr>
          <w:fldChar w:fldCharType="begin"/>
        </w:r>
        <w:r w:rsidR="00D2055F">
          <w:rPr>
            <w:noProof/>
            <w:webHidden/>
          </w:rPr>
          <w:instrText xml:space="preserve"> PAGEREF _Toc132510961 \h </w:instrText>
        </w:r>
        <w:r w:rsidR="00D2055F">
          <w:rPr>
            <w:noProof/>
            <w:webHidden/>
          </w:rPr>
        </w:r>
        <w:r w:rsidR="00D2055F">
          <w:rPr>
            <w:noProof/>
            <w:webHidden/>
          </w:rPr>
          <w:fldChar w:fldCharType="separate"/>
        </w:r>
        <w:r w:rsidR="00421DFA">
          <w:rPr>
            <w:noProof/>
            <w:webHidden/>
          </w:rPr>
          <w:t>38</w:t>
        </w:r>
        <w:r w:rsidR="00D2055F">
          <w:rPr>
            <w:noProof/>
            <w:webHidden/>
          </w:rPr>
          <w:fldChar w:fldCharType="end"/>
        </w:r>
      </w:hyperlink>
    </w:p>
    <w:p w14:paraId="3B13EFA0" w14:textId="77777777" w:rsidR="00D2055F" w:rsidRDefault="0017543F">
      <w:pPr>
        <w:pStyle w:val="TDC1"/>
        <w:rPr>
          <w:rFonts w:asciiTheme="minorHAnsi" w:eastAsiaTheme="minorEastAsia" w:hAnsiTheme="minorHAnsi" w:cstheme="minorBidi"/>
          <w:noProof/>
          <w:lang w:eastAsia="es-ES"/>
        </w:rPr>
      </w:pPr>
      <w:hyperlink w:anchor="_Toc132510962" w:history="1">
        <w:r w:rsidR="00D2055F" w:rsidRPr="00947A5F">
          <w:rPr>
            <w:rStyle w:val="Hipervnculo"/>
            <w:rFonts w:cs="Calibri"/>
            <w:b/>
            <w:bCs/>
            <w:noProof/>
          </w:rPr>
          <w:t>ALEGACIÓN 23.- As afeccións aos dereitos mineiros da empresa Aguasana non están avaliados.</w:t>
        </w:r>
        <w:r w:rsidR="00D2055F">
          <w:rPr>
            <w:noProof/>
            <w:webHidden/>
          </w:rPr>
          <w:tab/>
        </w:r>
        <w:r w:rsidR="00D2055F">
          <w:rPr>
            <w:noProof/>
            <w:webHidden/>
          </w:rPr>
          <w:fldChar w:fldCharType="begin"/>
        </w:r>
        <w:r w:rsidR="00D2055F">
          <w:rPr>
            <w:noProof/>
            <w:webHidden/>
          </w:rPr>
          <w:instrText xml:space="preserve"> PAGEREF _Toc132510962 \h </w:instrText>
        </w:r>
        <w:r w:rsidR="00D2055F">
          <w:rPr>
            <w:noProof/>
            <w:webHidden/>
          </w:rPr>
        </w:r>
        <w:r w:rsidR="00D2055F">
          <w:rPr>
            <w:noProof/>
            <w:webHidden/>
          </w:rPr>
          <w:fldChar w:fldCharType="separate"/>
        </w:r>
        <w:r w:rsidR="00421DFA">
          <w:rPr>
            <w:noProof/>
            <w:webHidden/>
          </w:rPr>
          <w:t>39</w:t>
        </w:r>
        <w:r w:rsidR="00D2055F">
          <w:rPr>
            <w:noProof/>
            <w:webHidden/>
          </w:rPr>
          <w:fldChar w:fldCharType="end"/>
        </w:r>
      </w:hyperlink>
    </w:p>
    <w:p w14:paraId="06DC8EC4" w14:textId="77777777" w:rsidR="00D2055F" w:rsidRDefault="0017543F">
      <w:pPr>
        <w:pStyle w:val="TDC1"/>
        <w:rPr>
          <w:rFonts w:asciiTheme="minorHAnsi" w:eastAsiaTheme="minorEastAsia" w:hAnsiTheme="minorHAnsi" w:cstheme="minorBidi"/>
          <w:noProof/>
          <w:lang w:eastAsia="es-ES"/>
        </w:rPr>
      </w:pPr>
      <w:hyperlink w:anchor="_Toc132510963" w:history="1">
        <w:r w:rsidR="00D2055F" w:rsidRPr="00947A5F">
          <w:rPr>
            <w:rStyle w:val="Hipervnculo"/>
            <w:rFonts w:cs="Calibri"/>
            <w:b/>
            <w:bCs/>
            <w:noProof/>
          </w:rPr>
          <w:t>ALEGACIÓN 24.-</w:t>
        </w:r>
        <w:r w:rsidR="00D2055F">
          <w:rPr>
            <w:rFonts w:asciiTheme="minorHAnsi" w:eastAsiaTheme="minorEastAsia" w:hAnsiTheme="minorHAnsi" w:cstheme="minorBidi"/>
            <w:noProof/>
            <w:lang w:eastAsia="es-ES"/>
          </w:rPr>
          <w:tab/>
        </w:r>
        <w:r w:rsidR="00D2055F" w:rsidRPr="00947A5F">
          <w:rPr>
            <w:rStyle w:val="Hipervnculo"/>
            <w:rFonts w:cs="Calibri"/>
            <w:b/>
            <w:bCs/>
            <w:noProof/>
          </w:rPr>
          <w:t>Vulneración dos artigos 2 e 6 da Directiva 92/43/CEE relativa á Conservación de Hábitats Naturais e da Fauna e Flora Silvestres, actualizada a través da Directiva 97/62/CEE.</w:t>
        </w:r>
        <w:r w:rsidR="00D2055F">
          <w:rPr>
            <w:noProof/>
            <w:webHidden/>
          </w:rPr>
          <w:tab/>
        </w:r>
        <w:r w:rsidR="00D2055F">
          <w:rPr>
            <w:noProof/>
            <w:webHidden/>
          </w:rPr>
          <w:fldChar w:fldCharType="begin"/>
        </w:r>
        <w:r w:rsidR="00D2055F">
          <w:rPr>
            <w:noProof/>
            <w:webHidden/>
          </w:rPr>
          <w:instrText xml:space="preserve"> PAGEREF _Toc132510963 \h </w:instrText>
        </w:r>
        <w:r w:rsidR="00D2055F">
          <w:rPr>
            <w:noProof/>
            <w:webHidden/>
          </w:rPr>
        </w:r>
        <w:r w:rsidR="00D2055F">
          <w:rPr>
            <w:noProof/>
            <w:webHidden/>
          </w:rPr>
          <w:fldChar w:fldCharType="separate"/>
        </w:r>
        <w:r w:rsidR="00421DFA">
          <w:rPr>
            <w:noProof/>
            <w:webHidden/>
          </w:rPr>
          <w:t>40</w:t>
        </w:r>
        <w:r w:rsidR="00D2055F">
          <w:rPr>
            <w:noProof/>
            <w:webHidden/>
          </w:rPr>
          <w:fldChar w:fldCharType="end"/>
        </w:r>
      </w:hyperlink>
    </w:p>
    <w:p w14:paraId="565DAD2C" w14:textId="77777777" w:rsidR="00D2055F" w:rsidRDefault="0017543F">
      <w:pPr>
        <w:pStyle w:val="TDC1"/>
        <w:rPr>
          <w:rFonts w:asciiTheme="minorHAnsi" w:eastAsiaTheme="minorEastAsia" w:hAnsiTheme="minorHAnsi" w:cstheme="minorBidi"/>
          <w:noProof/>
          <w:lang w:eastAsia="es-ES"/>
        </w:rPr>
      </w:pPr>
      <w:hyperlink w:anchor="_Toc132510964" w:history="1">
        <w:r w:rsidR="00D2055F" w:rsidRPr="00947A5F">
          <w:rPr>
            <w:rStyle w:val="Hipervnculo"/>
            <w:rFonts w:cs="Calibri"/>
            <w:b/>
            <w:bCs/>
            <w:noProof/>
          </w:rPr>
          <w:t>ALEGACIÓN 25.-</w:t>
        </w:r>
        <w:r w:rsidR="00D2055F">
          <w:rPr>
            <w:rFonts w:asciiTheme="minorHAnsi" w:eastAsiaTheme="minorEastAsia" w:hAnsiTheme="minorHAnsi" w:cstheme="minorBidi"/>
            <w:noProof/>
            <w:lang w:eastAsia="es-ES"/>
          </w:rPr>
          <w:tab/>
        </w:r>
        <w:r w:rsidR="00D2055F" w:rsidRPr="00947A5F">
          <w:rPr>
            <w:rStyle w:val="Hipervnculo"/>
            <w:rFonts w:cs="Calibri"/>
            <w:b/>
            <w:bCs/>
            <w:noProof/>
          </w:rPr>
          <w:t>Deficiente avaliación da afección a especies incluidas no Decreto 88/2007, do 19 de abril, polo que se regula o Catálogo Galego de Especies Ameazadas, Real Decreto 139/2011 para o desenvolvemento do Listado de Especies Silvestres en Réxime de Protección Especial e do Catálogo Español de Especies Ameazadas.</w:t>
        </w:r>
        <w:r w:rsidR="00D2055F">
          <w:rPr>
            <w:noProof/>
            <w:webHidden/>
          </w:rPr>
          <w:tab/>
        </w:r>
        <w:r w:rsidR="00D2055F">
          <w:rPr>
            <w:noProof/>
            <w:webHidden/>
          </w:rPr>
          <w:fldChar w:fldCharType="begin"/>
        </w:r>
        <w:r w:rsidR="00D2055F">
          <w:rPr>
            <w:noProof/>
            <w:webHidden/>
          </w:rPr>
          <w:instrText xml:space="preserve"> PAGEREF _Toc132510964 \h </w:instrText>
        </w:r>
        <w:r w:rsidR="00D2055F">
          <w:rPr>
            <w:noProof/>
            <w:webHidden/>
          </w:rPr>
        </w:r>
        <w:r w:rsidR="00D2055F">
          <w:rPr>
            <w:noProof/>
            <w:webHidden/>
          </w:rPr>
          <w:fldChar w:fldCharType="separate"/>
        </w:r>
        <w:r w:rsidR="00421DFA">
          <w:rPr>
            <w:noProof/>
            <w:webHidden/>
          </w:rPr>
          <w:t>41</w:t>
        </w:r>
        <w:r w:rsidR="00D2055F">
          <w:rPr>
            <w:noProof/>
            <w:webHidden/>
          </w:rPr>
          <w:fldChar w:fldCharType="end"/>
        </w:r>
      </w:hyperlink>
    </w:p>
    <w:p w14:paraId="62C9651F" w14:textId="77777777" w:rsidR="00D2055F" w:rsidRDefault="0017543F">
      <w:pPr>
        <w:pStyle w:val="TDC1"/>
        <w:rPr>
          <w:rFonts w:asciiTheme="minorHAnsi" w:eastAsiaTheme="minorEastAsia" w:hAnsiTheme="minorHAnsi" w:cstheme="minorBidi"/>
          <w:noProof/>
          <w:lang w:eastAsia="es-ES"/>
        </w:rPr>
      </w:pPr>
      <w:hyperlink w:anchor="_Toc132510965" w:history="1">
        <w:r w:rsidR="00D2055F" w:rsidRPr="00947A5F">
          <w:rPr>
            <w:rStyle w:val="Hipervnculo"/>
            <w:rFonts w:cs="Calibri"/>
            <w:b/>
            <w:bCs/>
            <w:noProof/>
          </w:rPr>
          <w:t>ALEGACIÓN 26.-</w:t>
        </w:r>
        <w:r w:rsidR="00D2055F">
          <w:rPr>
            <w:rFonts w:asciiTheme="minorHAnsi" w:eastAsiaTheme="minorEastAsia" w:hAnsiTheme="minorHAnsi" w:cstheme="minorBidi"/>
            <w:noProof/>
            <w:lang w:eastAsia="es-ES"/>
          </w:rPr>
          <w:tab/>
        </w:r>
        <w:r w:rsidR="00D2055F" w:rsidRPr="00947A5F">
          <w:rPr>
            <w:rStyle w:val="Hipervnculo"/>
            <w:rFonts w:cs="Calibri"/>
            <w:b/>
            <w:bCs/>
            <w:noProof/>
          </w:rPr>
          <w:t>Deficiente avaliación dos efectos a espazos de Rede Natura 2000 (LIC A Ramallosa, ES01425).</w:t>
        </w:r>
        <w:r w:rsidR="00D2055F">
          <w:rPr>
            <w:noProof/>
            <w:webHidden/>
          </w:rPr>
          <w:tab/>
        </w:r>
        <w:r w:rsidR="00D2055F">
          <w:rPr>
            <w:noProof/>
            <w:webHidden/>
          </w:rPr>
          <w:fldChar w:fldCharType="begin"/>
        </w:r>
        <w:r w:rsidR="00D2055F">
          <w:rPr>
            <w:noProof/>
            <w:webHidden/>
          </w:rPr>
          <w:instrText xml:space="preserve"> PAGEREF _Toc132510965 \h </w:instrText>
        </w:r>
        <w:r w:rsidR="00D2055F">
          <w:rPr>
            <w:noProof/>
            <w:webHidden/>
          </w:rPr>
        </w:r>
        <w:r w:rsidR="00D2055F">
          <w:rPr>
            <w:noProof/>
            <w:webHidden/>
          </w:rPr>
          <w:fldChar w:fldCharType="separate"/>
        </w:r>
        <w:r w:rsidR="00421DFA">
          <w:rPr>
            <w:noProof/>
            <w:webHidden/>
          </w:rPr>
          <w:t>41</w:t>
        </w:r>
        <w:r w:rsidR="00D2055F">
          <w:rPr>
            <w:noProof/>
            <w:webHidden/>
          </w:rPr>
          <w:fldChar w:fldCharType="end"/>
        </w:r>
      </w:hyperlink>
    </w:p>
    <w:p w14:paraId="633944EE" w14:textId="77777777" w:rsidR="00D2055F" w:rsidRDefault="0017543F">
      <w:pPr>
        <w:pStyle w:val="TDC1"/>
        <w:rPr>
          <w:rFonts w:asciiTheme="minorHAnsi" w:eastAsiaTheme="minorEastAsia" w:hAnsiTheme="minorHAnsi" w:cstheme="minorBidi"/>
          <w:noProof/>
          <w:lang w:eastAsia="es-ES"/>
        </w:rPr>
      </w:pPr>
      <w:hyperlink w:anchor="_Toc132510966" w:history="1">
        <w:r w:rsidR="00D2055F" w:rsidRPr="00947A5F">
          <w:rPr>
            <w:rStyle w:val="Hipervnculo"/>
            <w:rFonts w:cs="Calibri"/>
            <w:b/>
            <w:bCs/>
            <w:noProof/>
          </w:rPr>
          <w:t>ALEGACIÓN 27.-</w:t>
        </w:r>
        <w:r w:rsidR="00D2055F">
          <w:rPr>
            <w:rFonts w:asciiTheme="minorHAnsi" w:eastAsiaTheme="minorEastAsia" w:hAnsiTheme="minorHAnsi" w:cstheme="minorBidi"/>
            <w:noProof/>
            <w:lang w:eastAsia="es-ES"/>
          </w:rPr>
          <w:tab/>
        </w:r>
        <w:r w:rsidR="00D2055F" w:rsidRPr="00947A5F">
          <w:rPr>
            <w:rStyle w:val="Hipervnculo"/>
            <w:rFonts w:cs="Calibri"/>
            <w:b/>
            <w:bCs/>
            <w:noProof/>
          </w:rPr>
          <w:t>Vulneración da Ley 42/2007 del patrimonio Natural y de la Biodiversidad.</w:t>
        </w:r>
        <w:r w:rsidR="00D2055F">
          <w:rPr>
            <w:noProof/>
            <w:webHidden/>
          </w:rPr>
          <w:tab/>
        </w:r>
        <w:r w:rsidR="00D2055F">
          <w:rPr>
            <w:noProof/>
            <w:webHidden/>
          </w:rPr>
          <w:fldChar w:fldCharType="begin"/>
        </w:r>
        <w:r w:rsidR="00D2055F">
          <w:rPr>
            <w:noProof/>
            <w:webHidden/>
          </w:rPr>
          <w:instrText xml:space="preserve"> PAGEREF _Toc132510966 \h </w:instrText>
        </w:r>
        <w:r w:rsidR="00D2055F">
          <w:rPr>
            <w:noProof/>
            <w:webHidden/>
          </w:rPr>
        </w:r>
        <w:r w:rsidR="00D2055F">
          <w:rPr>
            <w:noProof/>
            <w:webHidden/>
          </w:rPr>
          <w:fldChar w:fldCharType="separate"/>
        </w:r>
        <w:r w:rsidR="00421DFA">
          <w:rPr>
            <w:noProof/>
            <w:webHidden/>
          </w:rPr>
          <w:t>42</w:t>
        </w:r>
        <w:r w:rsidR="00D2055F">
          <w:rPr>
            <w:noProof/>
            <w:webHidden/>
          </w:rPr>
          <w:fldChar w:fldCharType="end"/>
        </w:r>
      </w:hyperlink>
    </w:p>
    <w:p w14:paraId="2716432B" w14:textId="77777777" w:rsidR="00D2055F" w:rsidRDefault="0017543F">
      <w:pPr>
        <w:pStyle w:val="TDC1"/>
        <w:rPr>
          <w:rFonts w:asciiTheme="minorHAnsi" w:eastAsiaTheme="minorEastAsia" w:hAnsiTheme="minorHAnsi" w:cstheme="minorBidi"/>
          <w:noProof/>
          <w:lang w:eastAsia="es-ES"/>
        </w:rPr>
      </w:pPr>
      <w:hyperlink w:anchor="_Toc132510967" w:history="1">
        <w:r w:rsidR="00D2055F" w:rsidRPr="00947A5F">
          <w:rPr>
            <w:rStyle w:val="Hipervnculo"/>
            <w:rFonts w:cs="Calibri"/>
            <w:b/>
            <w:bCs/>
            <w:noProof/>
          </w:rPr>
          <w:t>ALEGACIÓN 28.-</w:t>
        </w:r>
        <w:r w:rsidR="00D2055F">
          <w:rPr>
            <w:rFonts w:asciiTheme="minorHAnsi" w:eastAsiaTheme="minorEastAsia" w:hAnsiTheme="minorHAnsi" w:cstheme="minorBidi"/>
            <w:noProof/>
            <w:lang w:eastAsia="es-ES"/>
          </w:rPr>
          <w:tab/>
        </w:r>
        <w:r w:rsidR="00D2055F" w:rsidRPr="00947A5F">
          <w:rPr>
            <w:rStyle w:val="Hipervnculo"/>
            <w:rFonts w:cs="Calibri"/>
            <w:b/>
            <w:bCs/>
            <w:noProof/>
          </w:rPr>
          <w:t>Segundo a Lei 18/2021, de 27 de decembro, de medidas fiscais e admnistrativas, incúmprese a distancia mínima entre os aeroxeradores e os núcleos de poboación.</w:t>
        </w:r>
        <w:r w:rsidR="00D2055F">
          <w:rPr>
            <w:noProof/>
            <w:webHidden/>
          </w:rPr>
          <w:tab/>
        </w:r>
        <w:r w:rsidR="00D2055F">
          <w:rPr>
            <w:noProof/>
            <w:webHidden/>
          </w:rPr>
          <w:fldChar w:fldCharType="begin"/>
        </w:r>
        <w:r w:rsidR="00D2055F">
          <w:rPr>
            <w:noProof/>
            <w:webHidden/>
          </w:rPr>
          <w:instrText xml:space="preserve"> PAGEREF _Toc132510967 \h </w:instrText>
        </w:r>
        <w:r w:rsidR="00D2055F">
          <w:rPr>
            <w:noProof/>
            <w:webHidden/>
          </w:rPr>
        </w:r>
        <w:r w:rsidR="00D2055F">
          <w:rPr>
            <w:noProof/>
            <w:webHidden/>
          </w:rPr>
          <w:fldChar w:fldCharType="separate"/>
        </w:r>
        <w:r w:rsidR="00421DFA">
          <w:rPr>
            <w:noProof/>
            <w:webHidden/>
          </w:rPr>
          <w:t>43</w:t>
        </w:r>
        <w:r w:rsidR="00D2055F">
          <w:rPr>
            <w:noProof/>
            <w:webHidden/>
          </w:rPr>
          <w:fldChar w:fldCharType="end"/>
        </w:r>
      </w:hyperlink>
    </w:p>
    <w:p w14:paraId="1C1B80E5" w14:textId="77777777" w:rsidR="00D2055F" w:rsidRDefault="0017543F">
      <w:pPr>
        <w:pStyle w:val="TDC1"/>
        <w:rPr>
          <w:rFonts w:asciiTheme="minorHAnsi" w:eastAsiaTheme="minorEastAsia" w:hAnsiTheme="minorHAnsi" w:cstheme="minorBidi"/>
          <w:noProof/>
          <w:lang w:eastAsia="es-ES"/>
        </w:rPr>
      </w:pPr>
      <w:hyperlink w:anchor="_Toc132510968" w:history="1">
        <w:r w:rsidR="00D2055F" w:rsidRPr="00947A5F">
          <w:rPr>
            <w:rStyle w:val="Hipervnculo"/>
            <w:rFonts w:cs="Calibri"/>
            <w:b/>
            <w:bCs/>
            <w:noProof/>
          </w:rPr>
          <w:t>ALEGACIÓN 29.-</w:t>
        </w:r>
        <w:r w:rsidR="00D2055F">
          <w:rPr>
            <w:rFonts w:asciiTheme="minorHAnsi" w:eastAsiaTheme="minorEastAsia" w:hAnsiTheme="minorHAnsi" w:cstheme="minorBidi"/>
            <w:noProof/>
            <w:lang w:eastAsia="es-ES"/>
          </w:rPr>
          <w:tab/>
        </w:r>
        <w:r w:rsidR="00D2055F" w:rsidRPr="00947A5F">
          <w:rPr>
            <w:rStyle w:val="Hipervnculo"/>
            <w:rFonts w:cs="Calibri"/>
            <w:b/>
            <w:bCs/>
            <w:noProof/>
          </w:rPr>
          <w:t>Deficiente avaliación da afección a hábitats e especies de interés comunitario consonte á Directiva 92/43/CEE, relativa á Conservación de Hábitats Naturais e da Fauna e Flora Silvestres, actualizada a través da Directiva 97/62/CEE.</w:t>
        </w:r>
        <w:r w:rsidR="00D2055F">
          <w:rPr>
            <w:noProof/>
            <w:webHidden/>
          </w:rPr>
          <w:tab/>
        </w:r>
        <w:r w:rsidR="00D2055F">
          <w:rPr>
            <w:noProof/>
            <w:webHidden/>
          </w:rPr>
          <w:fldChar w:fldCharType="begin"/>
        </w:r>
        <w:r w:rsidR="00D2055F">
          <w:rPr>
            <w:noProof/>
            <w:webHidden/>
          </w:rPr>
          <w:instrText xml:space="preserve"> PAGEREF _Toc132510968 \h </w:instrText>
        </w:r>
        <w:r w:rsidR="00D2055F">
          <w:rPr>
            <w:noProof/>
            <w:webHidden/>
          </w:rPr>
        </w:r>
        <w:r w:rsidR="00D2055F">
          <w:rPr>
            <w:noProof/>
            <w:webHidden/>
          </w:rPr>
          <w:fldChar w:fldCharType="separate"/>
        </w:r>
        <w:r w:rsidR="00421DFA">
          <w:rPr>
            <w:noProof/>
            <w:webHidden/>
          </w:rPr>
          <w:t>43</w:t>
        </w:r>
        <w:r w:rsidR="00D2055F">
          <w:rPr>
            <w:noProof/>
            <w:webHidden/>
          </w:rPr>
          <w:fldChar w:fldCharType="end"/>
        </w:r>
      </w:hyperlink>
    </w:p>
    <w:p w14:paraId="662C947A" w14:textId="77777777" w:rsidR="00D2055F" w:rsidRDefault="0017543F">
      <w:pPr>
        <w:pStyle w:val="TDC1"/>
        <w:rPr>
          <w:rFonts w:asciiTheme="minorHAnsi" w:eastAsiaTheme="minorEastAsia" w:hAnsiTheme="minorHAnsi" w:cstheme="minorBidi"/>
          <w:noProof/>
          <w:lang w:eastAsia="es-ES"/>
        </w:rPr>
      </w:pPr>
      <w:hyperlink w:anchor="_Toc132510982" w:history="1">
        <w:r w:rsidR="00D2055F" w:rsidRPr="00947A5F">
          <w:rPr>
            <w:rStyle w:val="Hipervnculo"/>
            <w:rFonts w:cs="Calibri"/>
            <w:b/>
            <w:bCs/>
            <w:noProof/>
          </w:rPr>
          <w:t>ALEGACIÓN 30.-</w:t>
        </w:r>
        <w:r w:rsidR="00D2055F">
          <w:rPr>
            <w:rFonts w:asciiTheme="minorHAnsi" w:eastAsiaTheme="minorEastAsia" w:hAnsiTheme="minorHAnsi" w:cstheme="minorBidi"/>
            <w:noProof/>
            <w:lang w:eastAsia="es-ES"/>
          </w:rPr>
          <w:tab/>
        </w:r>
        <w:r w:rsidR="00D2055F" w:rsidRPr="00947A5F">
          <w:rPr>
            <w:rStyle w:val="Hipervnculo"/>
            <w:rFonts w:cs="Calibri"/>
            <w:b/>
            <w:bCs/>
            <w:noProof/>
          </w:rPr>
          <w:t>Deficiente avaliación sobre os efectos á fauna (excepto aves e quirópteros).</w:t>
        </w:r>
        <w:r w:rsidR="00D2055F">
          <w:rPr>
            <w:noProof/>
            <w:webHidden/>
          </w:rPr>
          <w:tab/>
        </w:r>
        <w:r w:rsidR="00D2055F">
          <w:rPr>
            <w:noProof/>
            <w:webHidden/>
          </w:rPr>
          <w:fldChar w:fldCharType="begin"/>
        </w:r>
        <w:r w:rsidR="00D2055F">
          <w:rPr>
            <w:noProof/>
            <w:webHidden/>
          </w:rPr>
          <w:instrText xml:space="preserve"> PAGEREF _Toc132510982 \h </w:instrText>
        </w:r>
        <w:r w:rsidR="00D2055F">
          <w:rPr>
            <w:noProof/>
            <w:webHidden/>
          </w:rPr>
        </w:r>
        <w:r w:rsidR="00D2055F">
          <w:rPr>
            <w:noProof/>
            <w:webHidden/>
          </w:rPr>
          <w:fldChar w:fldCharType="separate"/>
        </w:r>
        <w:r w:rsidR="00421DFA">
          <w:rPr>
            <w:noProof/>
            <w:webHidden/>
          </w:rPr>
          <w:t>47</w:t>
        </w:r>
        <w:r w:rsidR="00D2055F">
          <w:rPr>
            <w:noProof/>
            <w:webHidden/>
          </w:rPr>
          <w:fldChar w:fldCharType="end"/>
        </w:r>
      </w:hyperlink>
    </w:p>
    <w:p w14:paraId="5748EA81" w14:textId="77777777" w:rsidR="00D2055F" w:rsidRDefault="0017543F">
      <w:pPr>
        <w:pStyle w:val="TDC1"/>
        <w:rPr>
          <w:rFonts w:asciiTheme="minorHAnsi" w:eastAsiaTheme="minorEastAsia" w:hAnsiTheme="minorHAnsi" w:cstheme="minorBidi"/>
          <w:noProof/>
          <w:lang w:eastAsia="es-ES"/>
        </w:rPr>
      </w:pPr>
      <w:hyperlink w:anchor="_Toc132511013" w:history="1">
        <w:r w:rsidR="00D2055F" w:rsidRPr="00947A5F">
          <w:rPr>
            <w:rStyle w:val="Hipervnculo"/>
            <w:b/>
            <w:noProof/>
          </w:rPr>
          <w:t>ALEGACIÓN 31.-</w:t>
        </w:r>
        <w:r w:rsidR="00D2055F">
          <w:rPr>
            <w:rFonts w:asciiTheme="minorHAnsi" w:eastAsiaTheme="minorEastAsia" w:hAnsiTheme="minorHAnsi" w:cstheme="minorBidi"/>
            <w:noProof/>
            <w:lang w:eastAsia="es-ES"/>
          </w:rPr>
          <w:tab/>
        </w:r>
        <w:r w:rsidR="00D2055F" w:rsidRPr="00947A5F">
          <w:rPr>
            <w:rStyle w:val="Hipervnculo"/>
            <w:b/>
            <w:noProof/>
          </w:rPr>
          <w:t>Inadecuada avaliación dos os efectos sobre a avifauna</w:t>
        </w:r>
        <w:r w:rsidR="00D2055F">
          <w:rPr>
            <w:noProof/>
            <w:webHidden/>
          </w:rPr>
          <w:tab/>
        </w:r>
        <w:r w:rsidR="00D2055F">
          <w:rPr>
            <w:noProof/>
            <w:webHidden/>
          </w:rPr>
          <w:fldChar w:fldCharType="begin"/>
        </w:r>
        <w:r w:rsidR="00D2055F">
          <w:rPr>
            <w:noProof/>
            <w:webHidden/>
          </w:rPr>
          <w:instrText xml:space="preserve"> PAGEREF _Toc132511013 \h </w:instrText>
        </w:r>
        <w:r w:rsidR="00D2055F">
          <w:rPr>
            <w:noProof/>
            <w:webHidden/>
          </w:rPr>
        </w:r>
        <w:r w:rsidR="00D2055F">
          <w:rPr>
            <w:noProof/>
            <w:webHidden/>
          </w:rPr>
          <w:fldChar w:fldCharType="separate"/>
        </w:r>
        <w:r w:rsidR="00421DFA">
          <w:rPr>
            <w:noProof/>
            <w:webHidden/>
          </w:rPr>
          <w:t>51</w:t>
        </w:r>
        <w:r w:rsidR="00D2055F">
          <w:rPr>
            <w:noProof/>
            <w:webHidden/>
          </w:rPr>
          <w:fldChar w:fldCharType="end"/>
        </w:r>
      </w:hyperlink>
    </w:p>
    <w:p w14:paraId="23593D11" w14:textId="77777777" w:rsidR="00D2055F" w:rsidRDefault="0017543F">
      <w:pPr>
        <w:pStyle w:val="TDC1"/>
        <w:rPr>
          <w:rFonts w:asciiTheme="minorHAnsi" w:eastAsiaTheme="minorEastAsia" w:hAnsiTheme="minorHAnsi" w:cstheme="minorBidi"/>
          <w:noProof/>
          <w:lang w:eastAsia="es-ES"/>
        </w:rPr>
      </w:pPr>
      <w:hyperlink w:anchor="_Toc132511015" w:history="1">
        <w:r w:rsidR="00D2055F" w:rsidRPr="00947A5F">
          <w:rPr>
            <w:rStyle w:val="Hipervnculo"/>
            <w:b/>
            <w:noProof/>
          </w:rPr>
          <w:t>ALEGACIÓN 32.-</w:t>
        </w:r>
        <w:r w:rsidR="00D2055F">
          <w:rPr>
            <w:rFonts w:asciiTheme="minorHAnsi" w:eastAsiaTheme="minorEastAsia" w:hAnsiTheme="minorHAnsi" w:cstheme="minorBidi"/>
            <w:noProof/>
            <w:lang w:eastAsia="es-ES"/>
          </w:rPr>
          <w:tab/>
        </w:r>
        <w:r w:rsidR="00D2055F" w:rsidRPr="00947A5F">
          <w:rPr>
            <w:rStyle w:val="Hipervnculo"/>
            <w:b/>
            <w:noProof/>
          </w:rPr>
          <w:t>Deficiente avaliación sobre os efectos sobre á quiropterofauna (morcegos).</w:t>
        </w:r>
        <w:r w:rsidR="00D2055F">
          <w:rPr>
            <w:noProof/>
            <w:webHidden/>
          </w:rPr>
          <w:tab/>
        </w:r>
        <w:r w:rsidR="00D2055F">
          <w:rPr>
            <w:noProof/>
            <w:webHidden/>
          </w:rPr>
          <w:fldChar w:fldCharType="begin"/>
        </w:r>
        <w:r w:rsidR="00D2055F">
          <w:rPr>
            <w:noProof/>
            <w:webHidden/>
          </w:rPr>
          <w:instrText xml:space="preserve"> PAGEREF _Toc132511015 \h </w:instrText>
        </w:r>
        <w:r w:rsidR="00D2055F">
          <w:rPr>
            <w:noProof/>
            <w:webHidden/>
          </w:rPr>
        </w:r>
        <w:r w:rsidR="00D2055F">
          <w:rPr>
            <w:noProof/>
            <w:webHidden/>
          </w:rPr>
          <w:fldChar w:fldCharType="separate"/>
        </w:r>
        <w:r w:rsidR="00421DFA">
          <w:rPr>
            <w:noProof/>
            <w:webHidden/>
          </w:rPr>
          <w:t>57</w:t>
        </w:r>
        <w:r w:rsidR="00D2055F">
          <w:rPr>
            <w:noProof/>
            <w:webHidden/>
          </w:rPr>
          <w:fldChar w:fldCharType="end"/>
        </w:r>
      </w:hyperlink>
    </w:p>
    <w:p w14:paraId="318885BA" w14:textId="77777777" w:rsidR="00D2055F" w:rsidRDefault="0017543F">
      <w:pPr>
        <w:pStyle w:val="TDC1"/>
        <w:rPr>
          <w:rFonts w:asciiTheme="minorHAnsi" w:eastAsiaTheme="minorEastAsia" w:hAnsiTheme="minorHAnsi" w:cstheme="minorBidi"/>
          <w:noProof/>
          <w:lang w:eastAsia="es-ES"/>
        </w:rPr>
      </w:pPr>
      <w:hyperlink w:anchor="_Toc132511016" w:history="1">
        <w:r w:rsidR="00D2055F" w:rsidRPr="00947A5F">
          <w:rPr>
            <w:rStyle w:val="Hipervnculo"/>
            <w:b/>
            <w:noProof/>
          </w:rPr>
          <w:t>ALEGACIÓN 33.-</w:t>
        </w:r>
        <w:r w:rsidR="00D2055F">
          <w:rPr>
            <w:rFonts w:asciiTheme="minorHAnsi" w:eastAsiaTheme="minorEastAsia" w:hAnsiTheme="minorHAnsi" w:cstheme="minorBidi"/>
            <w:noProof/>
            <w:lang w:eastAsia="es-ES"/>
          </w:rPr>
          <w:tab/>
        </w:r>
        <w:r w:rsidR="00D2055F" w:rsidRPr="00947A5F">
          <w:rPr>
            <w:rStyle w:val="Hipervnculo"/>
            <w:b/>
            <w:noProof/>
          </w:rPr>
          <w:t>Deficiente e inadecuado Plan de seguemento ambiental.</w:t>
        </w:r>
        <w:r w:rsidR="00D2055F">
          <w:rPr>
            <w:noProof/>
            <w:webHidden/>
          </w:rPr>
          <w:tab/>
        </w:r>
        <w:r w:rsidR="00D2055F">
          <w:rPr>
            <w:noProof/>
            <w:webHidden/>
          </w:rPr>
          <w:fldChar w:fldCharType="begin"/>
        </w:r>
        <w:r w:rsidR="00D2055F">
          <w:rPr>
            <w:noProof/>
            <w:webHidden/>
          </w:rPr>
          <w:instrText xml:space="preserve"> PAGEREF _Toc132511016 \h </w:instrText>
        </w:r>
        <w:r w:rsidR="00D2055F">
          <w:rPr>
            <w:noProof/>
            <w:webHidden/>
          </w:rPr>
        </w:r>
        <w:r w:rsidR="00D2055F">
          <w:rPr>
            <w:noProof/>
            <w:webHidden/>
          </w:rPr>
          <w:fldChar w:fldCharType="separate"/>
        </w:r>
        <w:r w:rsidR="00421DFA">
          <w:rPr>
            <w:noProof/>
            <w:webHidden/>
          </w:rPr>
          <w:t>60</w:t>
        </w:r>
        <w:r w:rsidR="00D2055F">
          <w:rPr>
            <w:noProof/>
            <w:webHidden/>
          </w:rPr>
          <w:fldChar w:fldCharType="end"/>
        </w:r>
      </w:hyperlink>
    </w:p>
    <w:p w14:paraId="5D7EEE29" w14:textId="77777777" w:rsidR="00D2055F" w:rsidRDefault="0017543F">
      <w:pPr>
        <w:pStyle w:val="TDC1"/>
        <w:rPr>
          <w:rFonts w:asciiTheme="minorHAnsi" w:eastAsiaTheme="minorEastAsia" w:hAnsiTheme="minorHAnsi" w:cstheme="minorBidi"/>
          <w:noProof/>
          <w:lang w:eastAsia="es-ES"/>
        </w:rPr>
      </w:pPr>
      <w:hyperlink w:anchor="_Toc132511017" w:history="1">
        <w:r w:rsidR="00D2055F" w:rsidRPr="00947A5F">
          <w:rPr>
            <w:rStyle w:val="Hipervnculo"/>
            <w:b/>
            <w:noProof/>
          </w:rPr>
          <w:t>ALEGACIÓN 34.-</w:t>
        </w:r>
        <w:r w:rsidR="00D2055F">
          <w:rPr>
            <w:rFonts w:asciiTheme="minorHAnsi" w:eastAsiaTheme="minorEastAsia" w:hAnsiTheme="minorHAnsi" w:cstheme="minorBidi"/>
            <w:noProof/>
            <w:lang w:eastAsia="es-ES"/>
          </w:rPr>
          <w:tab/>
        </w:r>
        <w:r w:rsidR="00D2055F" w:rsidRPr="00947A5F">
          <w:rPr>
            <w:rStyle w:val="Hipervnculo"/>
            <w:b/>
            <w:noProof/>
          </w:rPr>
          <w:t>Deficiente avaliación dos efectos sobre a vexetación.</w:t>
        </w:r>
        <w:r w:rsidR="00D2055F">
          <w:rPr>
            <w:noProof/>
            <w:webHidden/>
          </w:rPr>
          <w:tab/>
        </w:r>
        <w:r w:rsidR="00D2055F">
          <w:rPr>
            <w:noProof/>
            <w:webHidden/>
          </w:rPr>
          <w:fldChar w:fldCharType="begin"/>
        </w:r>
        <w:r w:rsidR="00D2055F">
          <w:rPr>
            <w:noProof/>
            <w:webHidden/>
          </w:rPr>
          <w:instrText xml:space="preserve"> PAGEREF _Toc132511017 \h </w:instrText>
        </w:r>
        <w:r w:rsidR="00D2055F">
          <w:rPr>
            <w:noProof/>
            <w:webHidden/>
          </w:rPr>
        </w:r>
        <w:r w:rsidR="00D2055F">
          <w:rPr>
            <w:noProof/>
            <w:webHidden/>
          </w:rPr>
          <w:fldChar w:fldCharType="separate"/>
        </w:r>
        <w:r w:rsidR="00421DFA">
          <w:rPr>
            <w:noProof/>
            <w:webHidden/>
          </w:rPr>
          <w:t>61</w:t>
        </w:r>
        <w:r w:rsidR="00D2055F">
          <w:rPr>
            <w:noProof/>
            <w:webHidden/>
          </w:rPr>
          <w:fldChar w:fldCharType="end"/>
        </w:r>
      </w:hyperlink>
    </w:p>
    <w:p w14:paraId="69838092" w14:textId="77777777" w:rsidR="00D2055F" w:rsidRDefault="0017543F">
      <w:pPr>
        <w:pStyle w:val="TDC1"/>
        <w:rPr>
          <w:rFonts w:asciiTheme="minorHAnsi" w:eastAsiaTheme="minorEastAsia" w:hAnsiTheme="minorHAnsi" w:cstheme="minorBidi"/>
          <w:noProof/>
          <w:lang w:eastAsia="es-ES"/>
        </w:rPr>
      </w:pPr>
      <w:hyperlink w:anchor="_Toc132511018" w:history="1">
        <w:r w:rsidR="00D2055F" w:rsidRPr="00947A5F">
          <w:rPr>
            <w:rStyle w:val="Hipervnculo"/>
            <w:b/>
            <w:noProof/>
          </w:rPr>
          <w:t>ALEGACIÓN 35.-</w:t>
        </w:r>
        <w:r w:rsidR="00D2055F">
          <w:rPr>
            <w:rFonts w:asciiTheme="minorHAnsi" w:eastAsiaTheme="minorEastAsia" w:hAnsiTheme="minorHAnsi" w:cstheme="minorBidi"/>
            <w:noProof/>
            <w:lang w:eastAsia="es-ES"/>
          </w:rPr>
          <w:tab/>
        </w:r>
        <w:r w:rsidR="00D2055F" w:rsidRPr="00947A5F">
          <w:rPr>
            <w:rStyle w:val="Hipervnculo"/>
            <w:b/>
            <w:noProof/>
          </w:rPr>
          <w:t>Deficiente avaliación dos efectos sobre os recursos hídricos.</w:t>
        </w:r>
        <w:r w:rsidR="00D2055F">
          <w:rPr>
            <w:noProof/>
            <w:webHidden/>
          </w:rPr>
          <w:tab/>
        </w:r>
        <w:r w:rsidR="00D2055F">
          <w:rPr>
            <w:noProof/>
            <w:webHidden/>
          </w:rPr>
          <w:fldChar w:fldCharType="begin"/>
        </w:r>
        <w:r w:rsidR="00D2055F">
          <w:rPr>
            <w:noProof/>
            <w:webHidden/>
          </w:rPr>
          <w:instrText xml:space="preserve"> PAGEREF _Toc132511018 \h </w:instrText>
        </w:r>
        <w:r w:rsidR="00D2055F">
          <w:rPr>
            <w:noProof/>
            <w:webHidden/>
          </w:rPr>
        </w:r>
        <w:r w:rsidR="00D2055F">
          <w:rPr>
            <w:noProof/>
            <w:webHidden/>
          </w:rPr>
          <w:fldChar w:fldCharType="separate"/>
        </w:r>
        <w:r w:rsidR="00421DFA">
          <w:rPr>
            <w:noProof/>
            <w:webHidden/>
          </w:rPr>
          <w:t>61</w:t>
        </w:r>
        <w:r w:rsidR="00D2055F">
          <w:rPr>
            <w:noProof/>
            <w:webHidden/>
          </w:rPr>
          <w:fldChar w:fldCharType="end"/>
        </w:r>
      </w:hyperlink>
    </w:p>
    <w:p w14:paraId="74E84D88" w14:textId="77777777" w:rsidR="00D2055F" w:rsidRDefault="0017543F">
      <w:pPr>
        <w:pStyle w:val="TDC1"/>
        <w:rPr>
          <w:rFonts w:asciiTheme="minorHAnsi" w:eastAsiaTheme="minorEastAsia" w:hAnsiTheme="minorHAnsi" w:cstheme="minorBidi"/>
          <w:noProof/>
          <w:lang w:eastAsia="es-ES"/>
        </w:rPr>
      </w:pPr>
      <w:hyperlink w:anchor="_Toc132511019" w:history="1">
        <w:r w:rsidR="00D2055F" w:rsidRPr="00947A5F">
          <w:rPr>
            <w:rStyle w:val="Hipervnculo"/>
            <w:b/>
            <w:noProof/>
          </w:rPr>
          <w:t>ALEGACIÓN 36.-</w:t>
        </w:r>
        <w:r w:rsidR="00D2055F">
          <w:rPr>
            <w:rFonts w:asciiTheme="minorHAnsi" w:eastAsiaTheme="minorEastAsia" w:hAnsiTheme="minorHAnsi" w:cstheme="minorBidi"/>
            <w:noProof/>
            <w:lang w:eastAsia="es-ES"/>
          </w:rPr>
          <w:tab/>
        </w:r>
        <w:r w:rsidR="00D2055F" w:rsidRPr="00947A5F">
          <w:rPr>
            <w:rStyle w:val="Hipervnculo"/>
            <w:b/>
            <w:noProof/>
          </w:rPr>
          <w:t>Deficiente avaliación dos efectos ocasionados polo efecto de parpadeo sobre a fauna.</w:t>
        </w:r>
        <w:r w:rsidR="00D2055F">
          <w:rPr>
            <w:noProof/>
            <w:webHidden/>
          </w:rPr>
          <w:tab/>
        </w:r>
        <w:r w:rsidR="00D2055F">
          <w:rPr>
            <w:noProof/>
            <w:webHidden/>
          </w:rPr>
          <w:fldChar w:fldCharType="begin"/>
        </w:r>
        <w:r w:rsidR="00D2055F">
          <w:rPr>
            <w:noProof/>
            <w:webHidden/>
          </w:rPr>
          <w:instrText xml:space="preserve"> PAGEREF _Toc132511019 \h </w:instrText>
        </w:r>
        <w:r w:rsidR="00D2055F">
          <w:rPr>
            <w:noProof/>
            <w:webHidden/>
          </w:rPr>
        </w:r>
        <w:r w:rsidR="00D2055F">
          <w:rPr>
            <w:noProof/>
            <w:webHidden/>
          </w:rPr>
          <w:fldChar w:fldCharType="separate"/>
        </w:r>
        <w:r w:rsidR="00421DFA">
          <w:rPr>
            <w:noProof/>
            <w:webHidden/>
          </w:rPr>
          <w:t>63</w:t>
        </w:r>
        <w:r w:rsidR="00D2055F">
          <w:rPr>
            <w:noProof/>
            <w:webHidden/>
          </w:rPr>
          <w:fldChar w:fldCharType="end"/>
        </w:r>
      </w:hyperlink>
    </w:p>
    <w:p w14:paraId="0EF35B36" w14:textId="77777777" w:rsidR="00D2055F" w:rsidRDefault="0017543F">
      <w:pPr>
        <w:pStyle w:val="TDC1"/>
        <w:rPr>
          <w:rFonts w:asciiTheme="minorHAnsi" w:eastAsiaTheme="minorEastAsia" w:hAnsiTheme="minorHAnsi" w:cstheme="minorBidi"/>
          <w:noProof/>
          <w:lang w:eastAsia="es-ES"/>
        </w:rPr>
      </w:pPr>
      <w:hyperlink w:anchor="_Toc132511020" w:history="1">
        <w:r w:rsidR="00D2055F" w:rsidRPr="00947A5F">
          <w:rPr>
            <w:rStyle w:val="Hipervnculo"/>
            <w:b/>
            <w:noProof/>
          </w:rPr>
          <w:t>ALEGACIÓN 37.-</w:t>
        </w:r>
        <w:r w:rsidR="00D2055F">
          <w:rPr>
            <w:rFonts w:asciiTheme="minorHAnsi" w:eastAsiaTheme="minorEastAsia" w:hAnsiTheme="minorHAnsi" w:cstheme="minorBidi"/>
            <w:noProof/>
            <w:lang w:eastAsia="es-ES"/>
          </w:rPr>
          <w:tab/>
        </w:r>
        <w:r w:rsidR="00D2055F" w:rsidRPr="00947A5F">
          <w:rPr>
            <w:rStyle w:val="Hipervnculo"/>
            <w:b/>
            <w:noProof/>
          </w:rPr>
          <w:t>Deficiente avaliación sobre os efectos do ruido na fase de construción.</w:t>
        </w:r>
        <w:r w:rsidR="00D2055F">
          <w:rPr>
            <w:noProof/>
            <w:webHidden/>
          </w:rPr>
          <w:tab/>
        </w:r>
        <w:r w:rsidR="00D2055F">
          <w:rPr>
            <w:noProof/>
            <w:webHidden/>
          </w:rPr>
          <w:fldChar w:fldCharType="begin"/>
        </w:r>
        <w:r w:rsidR="00D2055F">
          <w:rPr>
            <w:noProof/>
            <w:webHidden/>
          </w:rPr>
          <w:instrText xml:space="preserve"> PAGEREF _Toc132511020 \h </w:instrText>
        </w:r>
        <w:r w:rsidR="00D2055F">
          <w:rPr>
            <w:noProof/>
            <w:webHidden/>
          </w:rPr>
        </w:r>
        <w:r w:rsidR="00D2055F">
          <w:rPr>
            <w:noProof/>
            <w:webHidden/>
          </w:rPr>
          <w:fldChar w:fldCharType="separate"/>
        </w:r>
        <w:r w:rsidR="00421DFA">
          <w:rPr>
            <w:noProof/>
            <w:webHidden/>
          </w:rPr>
          <w:t>63</w:t>
        </w:r>
        <w:r w:rsidR="00D2055F">
          <w:rPr>
            <w:noProof/>
            <w:webHidden/>
          </w:rPr>
          <w:fldChar w:fldCharType="end"/>
        </w:r>
      </w:hyperlink>
    </w:p>
    <w:p w14:paraId="28FEE363" w14:textId="77777777" w:rsidR="00D2055F" w:rsidRDefault="0017543F">
      <w:pPr>
        <w:pStyle w:val="TDC1"/>
        <w:rPr>
          <w:rFonts w:asciiTheme="minorHAnsi" w:eastAsiaTheme="minorEastAsia" w:hAnsiTheme="minorHAnsi" w:cstheme="minorBidi"/>
          <w:noProof/>
          <w:lang w:eastAsia="es-ES"/>
        </w:rPr>
      </w:pPr>
      <w:hyperlink w:anchor="_Toc132511021" w:history="1">
        <w:r w:rsidR="00D2055F" w:rsidRPr="00947A5F">
          <w:rPr>
            <w:rStyle w:val="Hipervnculo"/>
            <w:b/>
            <w:noProof/>
          </w:rPr>
          <w:t>ALEGACIÓN 38.-</w:t>
        </w:r>
        <w:r w:rsidR="00D2055F">
          <w:rPr>
            <w:rFonts w:asciiTheme="minorHAnsi" w:eastAsiaTheme="minorEastAsia" w:hAnsiTheme="minorHAnsi" w:cstheme="minorBidi"/>
            <w:noProof/>
            <w:lang w:eastAsia="es-ES"/>
          </w:rPr>
          <w:tab/>
        </w:r>
        <w:r w:rsidR="00D2055F" w:rsidRPr="00947A5F">
          <w:rPr>
            <w:rStyle w:val="Hipervnculo"/>
            <w:b/>
            <w:noProof/>
          </w:rPr>
          <w:t>Deficiente avaliación dos efectos derivados dos procesos de restauración e</w:t>
        </w:r>
        <w:r w:rsidR="00D2055F" w:rsidRPr="00947A5F">
          <w:rPr>
            <w:rStyle w:val="Hipervnculo"/>
            <w:b/>
            <w:bCs/>
            <w:noProof/>
          </w:rPr>
          <w:t xml:space="preserve"> </w:t>
        </w:r>
        <w:r w:rsidR="00D2055F" w:rsidRPr="00947A5F">
          <w:rPr>
            <w:rStyle w:val="Hipervnculo"/>
            <w:b/>
            <w:noProof/>
          </w:rPr>
          <w:t>revexetación.</w:t>
        </w:r>
        <w:r w:rsidR="00D2055F">
          <w:rPr>
            <w:noProof/>
            <w:webHidden/>
          </w:rPr>
          <w:tab/>
        </w:r>
        <w:r w:rsidR="00D2055F">
          <w:rPr>
            <w:noProof/>
            <w:webHidden/>
          </w:rPr>
          <w:fldChar w:fldCharType="begin"/>
        </w:r>
        <w:r w:rsidR="00D2055F">
          <w:rPr>
            <w:noProof/>
            <w:webHidden/>
          </w:rPr>
          <w:instrText xml:space="preserve"> PAGEREF _Toc132511021 \h </w:instrText>
        </w:r>
        <w:r w:rsidR="00D2055F">
          <w:rPr>
            <w:noProof/>
            <w:webHidden/>
          </w:rPr>
        </w:r>
        <w:r w:rsidR="00D2055F">
          <w:rPr>
            <w:noProof/>
            <w:webHidden/>
          </w:rPr>
          <w:fldChar w:fldCharType="separate"/>
        </w:r>
        <w:r w:rsidR="00421DFA">
          <w:rPr>
            <w:noProof/>
            <w:webHidden/>
          </w:rPr>
          <w:t>63</w:t>
        </w:r>
        <w:r w:rsidR="00D2055F">
          <w:rPr>
            <w:noProof/>
            <w:webHidden/>
          </w:rPr>
          <w:fldChar w:fldCharType="end"/>
        </w:r>
      </w:hyperlink>
    </w:p>
    <w:p w14:paraId="55660C5A" w14:textId="77777777" w:rsidR="00D2055F" w:rsidRDefault="0017543F">
      <w:pPr>
        <w:pStyle w:val="TDC1"/>
        <w:rPr>
          <w:rFonts w:asciiTheme="minorHAnsi" w:eastAsiaTheme="minorEastAsia" w:hAnsiTheme="minorHAnsi" w:cstheme="minorBidi"/>
          <w:noProof/>
          <w:lang w:eastAsia="es-ES"/>
        </w:rPr>
      </w:pPr>
      <w:hyperlink w:anchor="_Toc132511022" w:history="1">
        <w:r w:rsidR="00D2055F" w:rsidRPr="00947A5F">
          <w:rPr>
            <w:rStyle w:val="Hipervnculo"/>
            <w:b/>
            <w:noProof/>
          </w:rPr>
          <w:t>ALEGACIÓN 39.-</w:t>
        </w:r>
        <w:r w:rsidR="00D2055F">
          <w:rPr>
            <w:rFonts w:asciiTheme="minorHAnsi" w:eastAsiaTheme="minorEastAsia" w:hAnsiTheme="minorHAnsi" w:cstheme="minorBidi"/>
            <w:noProof/>
            <w:lang w:eastAsia="es-ES"/>
          </w:rPr>
          <w:tab/>
        </w:r>
        <w:r w:rsidR="00D2055F" w:rsidRPr="00947A5F">
          <w:rPr>
            <w:rStyle w:val="Hipervnculo"/>
            <w:b/>
            <w:noProof/>
          </w:rPr>
          <w:t>Deficiente avaliación dos efectos derivados da eliminación dos aeroxeradores na fase de desmantelamento.</w:t>
        </w:r>
        <w:r w:rsidR="00D2055F">
          <w:rPr>
            <w:noProof/>
            <w:webHidden/>
          </w:rPr>
          <w:tab/>
        </w:r>
        <w:r w:rsidR="00D2055F">
          <w:rPr>
            <w:noProof/>
            <w:webHidden/>
          </w:rPr>
          <w:fldChar w:fldCharType="begin"/>
        </w:r>
        <w:r w:rsidR="00D2055F">
          <w:rPr>
            <w:noProof/>
            <w:webHidden/>
          </w:rPr>
          <w:instrText xml:space="preserve"> PAGEREF _Toc132511022 \h </w:instrText>
        </w:r>
        <w:r w:rsidR="00D2055F">
          <w:rPr>
            <w:noProof/>
            <w:webHidden/>
          </w:rPr>
        </w:r>
        <w:r w:rsidR="00D2055F">
          <w:rPr>
            <w:noProof/>
            <w:webHidden/>
          </w:rPr>
          <w:fldChar w:fldCharType="separate"/>
        </w:r>
        <w:r w:rsidR="00421DFA">
          <w:rPr>
            <w:noProof/>
            <w:webHidden/>
          </w:rPr>
          <w:t>64</w:t>
        </w:r>
        <w:r w:rsidR="00D2055F">
          <w:rPr>
            <w:noProof/>
            <w:webHidden/>
          </w:rPr>
          <w:fldChar w:fldCharType="end"/>
        </w:r>
      </w:hyperlink>
    </w:p>
    <w:p w14:paraId="46F4CC29" w14:textId="77777777" w:rsidR="00D2055F" w:rsidRDefault="0017543F">
      <w:pPr>
        <w:pStyle w:val="TDC1"/>
        <w:rPr>
          <w:rFonts w:asciiTheme="minorHAnsi" w:eastAsiaTheme="minorEastAsia" w:hAnsiTheme="minorHAnsi" w:cstheme="minorBidi"/>
          <w:noProof/>
          <w:lang w:eastAsia="es-ES"/>
        </w:rPr>
      </w:pPr>
      <w:hyperlink w:anchor="_Toc132511023" w:history="1">
        <w:r w:rsidR="00D2055F" w:rsidRPr="00947A5F">
          <w:rPr>
            <w:rStyle w:val="Hipervnculo"/>
            <w:b/>
            <w:noProof/>
          </w:rPr>
          <w:t>ALEGACIÓN 40.-</w:t>
        </w:r>
        <w:r w:rsidR="00D2055F">
          <w:rPr>
            <w:rFonts w:asciiTheme="minorHAnsi" w:eastAsiaTheme="minorEastAsia" w:hAnsiTheme="minorHAnsi" w:cstheme="minorBidi"/>
            <w:noProof/>
            <w:lang w:eastAsia="es-ES"/>
          </w:rPr>
          <w:tab/>
        </w:r>
        <w:r w:rsidR="00D2055F" w:rsidRPr="00947A5F">
          <w:rPr>
            <w:rStyle w:val="Hipervnculo"/>
            <w:b/>
            <w:noProof/>
          </w:rPr>
          <w:t>Vulneración do artigo 11 da Lei 7/2008 do 7 de xullo, de protección da paisaxe de Galicia. Afección sobre a calidade paisaxística e sobre o tecido socieconómico</w:t>
        </w:r>
        <w:r w:rsidR="00D2055F">
          <w:rPr>
            <w:noProof/>
            <w:webHidden/>
          </w:rPr>
          <w:tab/>
        </w:r>
        <w:r w:rsidR="00D2055F">
          <w:rPr>
            <w:noProof/>
            <w:webHidden/>
          </w:rPr>
          <w:fldChar w:fldCharType="begin"/>
        </w:r>
        <w:r w:rsidR="00D2055F">
          <w:rPr>
            <w:noProof/>
            <w:webHidden/>
          </w:rPr>
          <w:instrText xml:space="preserve"> PAGEREF _Toc132511023 \h </w:instrText>
        </w:r>
        <w:r w:rsidR="00D2055F">
          <w:rPr>
            <w:noProof/>
            <w:webHidden/>
          </w:rPr>
        </w:r>
        <w:r w:rsidR="00D2055F">
          <w:rPr>
            <w:noProof/>
            <w:webHidden/>
          </w:rPr>
          <w:fldChar w:fldCharType="separate"/>
        </w:r>
        <w:r w:rsidR="00421DFA">
          <w:rPr>
            <w:noProof/>
            <w:webHidden/>
          </w:rPr>
          <w:t>65</w:t>
        </w:r>
        <w:r w:rsidR="00D2055F">
          <w:rPr>
            <w:noProof/>
            <w:webHidden/>
          </w:rPr>
          <w:fldChar w:fldCharType="end"/>
        </w:r>
      </w:hyperlink>
    </w:p>
    <w:p w14:paraId="38491736" w14:textId="77777777" w:rsidR="00D2055F" w:rsidRDefault="0017543F">
      <w:pPr>
        <w:pStyle w:val="TDC1"/>
        <w:rPr>
          <w:rFonts w:asciiTheme="minorHAnsi" w:eastAsiaTheme="minorEastAsia" w:hAnsiTheme="minorHAnsi" w:cstheme="minorBidi"/>
          <w:noProof/>
          <w:lang w:eastAsia="es-ES"/>
        </w:rPr>
      </w:pPr>
      <w:hyperlink w:anchor="_Toc132511024" w:history="1">
        <w:r w:rsidR="00D2055F" w:rsidRPr="00947A5F">
          <w:rPr>
            <w:rStyle w:val="Hipervnculo"/>
            <w:b/>
            <w:noProof/>
          </w:rPr>
          <w:t>ALEGACIÓN 41.-</w:t>
        </w:r>
        <w:r w:rsidR="00D2055F">
          <w:rPr>
            <w:rFonts w:asciiTheme="minorHAnsi" w:eastAsiaTheme="minorEastAsia" w:hAnsiTheme="minorHAnsi" w:cstheme="minorBidi"/>
            <w:noProof/>
            <w:lang w:eastAsia="es-ES"/>
          </w:rPr>
          <w:tab/>
        </w:r>
        <w:r w:rsidR="00D2055F" w:rsidRPr="00947A5F">
          <w:rPr>
            <w:rStyle w:val="Hipervnculo"/>
            <w:b/>
            <w:bCs/>
            <w:noProof/>
          </w:rPr>
          <w:t>Vulneración da Lei 3/1996, de protección dos Camiños de Santiago</w:t>
        </w:r>
        <w:r w:rsidR="00D2055F">
          <w:rPr>
            <w:noProof/>
            <w:webHidden/>
          </w:rPr>
          <w:tab/>
        </w:r>
        <w:r w:rsidR="00D2055F">
          <w:rPr>
            <w:noProof/>
            <w:webHidden/>
          </w:rPr>
          <w:fldChar w:fldCharType="begin"/>
        </w:r>
        <w:r w:rsidR="00D2055F">
          <w:rPr>
            <w:noProof/>
            <w:webHidden/>
          </w:rPr>
          <w:instrText xml:space="preserve"> PAGEREF _Toc132511024 \h </w:instrText>
        </w:r>
        <w:r w:rsidR="00D2055F">
          <w:rPr>
            <w:noProof/>
            <w:webHidden/>
          </w:rPr>
        </w:r>
        <w:r w:rsidR="00D2055F">
          <w:rPr>
            <w:noProof/>
            <w:webHidden/>
          </w:rPr>
          <w:fldChar w:fldCharType="separate"/>
        </w:r>
        <w:r w:rsidR="00421DFA">
          <w:rPr>
            <w:noProof/>
            <w:webHidden/>
          </w:rPr>
          <w:t>65</w:t>
        </w:r>
        <w:r w:rsidR="00D2055F">
          <w:rPr>
            <w:noProof/>
            <w:webHidden/>
          </w:rPr>
          <w:fldChar w:fldCharType="end"/>
        </w:r>
      </w:hyperlink>
    </w:p>
    <w:p w14:paraId="670C560C" w14:textId="77777777" w:rsidR="00D2055F" w:rsidRDefault="0017543F">
      <w:pPr>
        <w:pStyle w:val="TDC1"/>
        <w:rPr>
          <w:rFonts w:asciiTheme="minorHAnsi" w:eastAsiaTheme="minorEastAsia" w:hAnsiTheme="minorHAnsi" w:cstheme="minorBidi"/>
          <w:noProof/>
          <w:lang w:eastAsia="es-ES"/>
        </w:rPr>
      </w:pPr>
      <w:hyperlink w:anchor="_Toc132511025" w:history="1">
        <w:r w:rsidR="00D2055F" w:rsidRPr="00947A5F">
          <w:rPr>
            <w:rStyle w:val="Hipervnculo"/>
            <w:b/>
            <w:noProof/>
          </w:rPr>
          <w:t>ALEGACIÓN 42.-</w:t>
        </w:r>
        <w:r w:rsidR="00D2055F">
          <w:rPr>
            <w:rFonts w:asciiTheme="minorHAnsi" w:eastAsiaTheme="minorEastAsia" w:hAnsiTheme="minorHAnsi" w:cstheme="minorBidi"/>
            <w:noProof/>
            <w:lang w:eastAsia="es-ES"/>
          </w:rPr>
          <w:tab/>
        </w:r>
        <w:r w:rsidR="00D2055F" w:rsidRPr="00947A5F">
          <w:rPr>
            <w:rStyle w:val="Hipervnculo"/>
            <w:b/>
            <w:noProof/>
          </w:rPr>
          <w:t>Deficiente avaliación dos efectos na mitigación do cambio climático.</w:t>
        </w:r>
        <w:r w:rsidR="00D2055F">
          <w:rPr>
            <w:noProof/>
            <w:webHidden/>
          </w:rPr>
          <w:tab/>
        </w:r>
        <w:r w:rsidR="00D2055F">
          <w:rPr>
            <w:noProof/>
            <w:webHidden/>
          </w:rPr>
          <w:fldChar w:fldCharType="begin"/>
        </w:r>
        <w:r w:rsidR="00D2055F">
          <w:rPr>
            <w:noProof/>
            <w:webHidden/>
          </w:rPr>
          <w:instrText xml:space="preserve"> PAGEREF _Toc132511025 \h </w:instrText>
        </w:r>
        <w:r w:rsidR="00D2055F">
          <w:rPr>
            <w:noProof/>
            <w:webHidden/>
          </w:rPr>
        </w:r>
        <w:r w:rsidR="00D2055F">
          <w:rPr>
            <w:noProof/>
            <w:webHidden/>
          </w:rPr>
          <w:fldChar w:fldCharType="separate"/>
        </w:r>
        <w:r w:rsidR="00421DFA">
          <w:rPr>
            <w:noProof/>
            <w:webHidden/>
          </w:rPr>
          <w:t>71</w:t>
        </w:r>
        <w:r w:rsidR="00D2055F">
          <w:rPr>
            <w:noProof/>
            <w:webHidden/>
          </w:rPr>
          <w:fldChar w:fldCharType="end"/>
        </w:r>
      </w:hyperlink>
    </w:p>
    <w:p w14:paraId="5F4DE59F" w14:textId="77777777" w:rsidR="00D2055F" w:rsidRDefault="0017543F">
      <w:pPr>
        <w:pStyle w:val="TDC1"/>
        <w:rPr>
          <w:rFonts w:asciiTheme="minorHAnsi" w:eastAsiaTheme="minorEastAsia" w:hAnsiTheme="minorHAnsi" w:cstheme="minorBidi"/>
          <w:noProof/>
          <w:lang w:eastAsia="es-ES"/>
        </w:rPr>
      </w:pPr>
      <w:hyperlink w:anchor="_Toc132511026" w:history="1">
        <w:r w:rsidR="00D2055F" w:rsidRPr="00947A5F">
          <w:rPr>
            <w:rStyle w:val="Hipervnculo"/>
            <w:b/>
            <w:noProof/>
          </w:rPr>
          <w:t>ALEGACIÓN 43.-</w:t>
        </w:r>
        <w:r w:rsidR="00D2055F">
          <w:rPr>
            <w:rFonts w:asciiTheme="minorHAnsi" w:eastAsiaTheme="minorEastAsia" w:hAnsiTheme="minorHAnsi" w:cstheme="minorBidi"/>
            <w:noProof/>
            <w:lang w:eastAsia="es-ES"/>
          </w:rPr>
          <w:tab/>
        </w:r>
        <w:r w:rsidR="00D2055F" w:rsidRPr="00947A5F">
          <w:rPr>
            <w:rStyle w:val="Hipervnculo"/>
            <w:b/>
            <w:noProof/>
          </w:rPr>
          <w:t>Deficiente avaliación dos efectos ambientais sinérxicos e</w:t>
        </w:r>
        <w:r w:rsidR="00D2055F" w:rsidRPr="00947A5F">
          <w:rPr>
            <w:rStyle w:val="Hipervnculo"/>
            <w:b/>
            <w:bCs/>
            <w:noProof/>
          </w:rPr>
          <w:t xml:space="preserve"> </w:t>
        </w:r>
        <w:r w:rsidR="00D2055F" w:rsidRPr="00947A5F">
          <w:rPr>
            <w:rStyle w:val="Hipervnculo"/>
            <w:b/>
            <w:noProof/>
          </w:rPr>
          <w:t>acumulativos.</w:t>
        </w:r>
        <w:r w:rsidR="00D2055F">
          <w:rPr>
            <w:noProof/>
            <w:webHidden/>
          </w:rPr>
          <w:tab/>
        </w:r>
        <w:r w:rsidR="00D2055F">
          <w:rPr>
            <w:noProof/>
            <w:webHidden/>
          </w:rPr>
          <w:fldChar w:fldCharType="begin"/>
        </w:r>
        <w:r w:rsidR="00D2055F">
          <w:rPr>
            <w:noProof/>
            <w:webHidden/>
          </w:rPr>
          <w:instrText xml:space="preserve"> PAGEREF _Toc132511026 \h </w:instrText>
        </w:r>
        <w:r w:rsidR="00D2055F">
          <w:rPr>
            <w:noProof/>
            <w:webHidden/>
          </w:rPr>
        </w:r>
        <w:r w:rsidR="00D2055F">
          <w:rPr>
            <w:noProof/>
            <w:webHidden/>
          </w:rPr>
          <w:fldChar w:fldCharType="separate"/>
        </w:r>
        <w:r w:rsidR="00421DFA">
          <w:rPr>
            <w:noProof/>
            <w:webHidden/>
          </w:rPr>
          <w:t>71</w:t>
        </w:r>
        <w:r w:rsidR="00D2055F">
          <w:rPr>
            <w:noProof/>
            <w:webHidden/>
          </w:rPr>
          <w:fldChar w:fldCharType="end"/>
        </w:r>
      </w:hyperlink>
    </w:p>
    <w:p w14:paraId="4A6EE7BE" w14:textId="77777777" w:rsidR="00D2055F" w:rsidRDefault="0017543F">
      <w:pPr>
        <w:pStyle w:val="TDC2"/>
        <w:tabs>
          <w:tab w:val="right" w:leader="dot" w:pos="9629"/>
        </w:tabs>
        <w:rPr>
          <w:rFonts w:asciiTheme="minorHAnsi" w:eastAsiaTheme="minorEastAsia" w:hAnsiTheme="minorHAnsi" w:cstheme="minorBidi"/>
          <w:noProof/>
          <w:sz w:val="22"/>
          <w:szCs w:val="22"/>
          <w:lang w:val="es-ES" w:eastAsia="es-ES"/>
        </w:rPr>
      </w:pPr>
      <w:hyperlink w:anchor="_Toc132511027" w:history="1">
        <w:r w:rsidR="00D2055F" w:rsidRPr="00947A5F">
          <w:rPr>
            <w:rStyle w:val="Hipervnculo"/>
            <w:rFonts w:cs="Calibri"/>
            <w:noProof/>
          </w:rPr>
          <w:t>43.1.- Sobre os efectos sinérxicos e acumulativos aos hábitats de interés comunitario.</w:t>
        </w:r>
        <w:r w:rsidR="00D2055F">
          <w:rPr>
            <w:noProof/>
            <w:webHidden/>
          </w:rPr>
          <w:tab/>
        </w:r>
        <w:r w:rsidR="00D2055F">
          <w:rPr>
            <w:noProof/>
            <w:webHidden/>
          </w:rPr>
          <w:fldChar w:fldCharType="begin"/>
        </w:r>
        <w:r w:rsidR="00D2055F">
          <w:rPr>
            <w:noProof/>
            <w:webHidden/>
          </w:rPr>
          <w:instrText xml:space="preserve"> PAGEREF _Toc132511027 \h </w:instrText>
        </w:r>
        <w:r w:rsidR="00D2055F">
          <w:rPr>
            <w:noProof/>
            <w:webHidden/>
          </w:rPr>
        </w:r>
        <w:r w:rsidR="00D2055F">
          <w:rPr>
            <w:noProof/>
            <w:webHidden/>
          </w:rPr>
          <w:fldChar w:fldCharType="separate"/>
        </w:r>
        <w:r w:rsidR="00421DFA">
          <w:rPr>
            <w:noProof/>
            <w:webHidden/>
          </w:rPr>
          <w:t>71</w:t>
        </w:r>
        <w:r w:rsidR="00D2055F">
          <w:rPr>
            <w:noProof/>
            <w:webHidden/>
          </w:rPr>
          <w:fldChar w:fldCharType="end"/>
        </w:r>
      </w:hyperlink>
    </w:p>
    <w:p w14:paraId="1BBD3BD8" w14:textId="77777777" w:rsidR="00D2055F" w:rsidRDefault="0017543F">
      <w:pPr>
        <w:pStyle w:val="TDC2"/>
        <w:tabs>
          <w:tab w:val="right" w:leader="dot" w:pos="9629"/>
        </w:tabs>
        <w:rPr>
          <w:rFonts w:asciiTheme="minorHAnsi" w:eastAsiaTheme="minorEastAsia" w:hAnsiTheme="minorHAnsi" w:cstheme="minorBidi"/>
          <w:noProof/>
          <w:sz w:val="22"/>
          <w:szCs w:val="22"/>
          <w:lang w:val="es-ES" w:eastAsia="es-ES"/>
        </w:rPr>
      </w:pPr>
      <w:hyperlink w:anchor="_Toc132511028" w:history="1">
        <w:r w:rsidR="00D2055F" w:rsidRPr="00947A5F">
          <w:rPr>
            <w:rStyle w:val="Hipervnculo"/>
            <w:rFonts w:cs="Calibri"/>
            <w:noProof/>
          </w:rPr>
          <w:t>43.2.- Sobre os efectos sinérxicos e acumulativos á conectividade funcional</w:t>
        </w:r>
        <w:r w:rsidR="00D2055F">
          <w:rPr>
            <w:noProof/>
            <w:webHidden/>
          </w:rPr>
          <w:tab/>
        </w:r>
        <w:r w:rsidR="00D2055F">
          <w:rPr>
            <w:noProof/>
            <w:webHidden/>
          </w:rPr>
          <w:fldChar w:fldCharType="begin"/>
        </w:r>
        <w:r w:rsidR="00D2055F">
          <w:rPr>
            <w:noProof/>
            <w:webHidden/>
          </w:rPr>
          <w:instrText xml:space="preserve"> PAGEREF _Toc132511028 \h </w:instrText>
        </w:r>
        <w:r w:rsidR="00D2055F">
          <w:rPr>
            <w:noProof/>
            <w:webHidden/>
          </w:rPr>
        </w:r>
        <w:r w:rsidR="00D2055F">
          <w:rPr>
            <w:noProof/>
            <w:webHidden/>
          </w:rPr>
          <w:fldChar w:fldCharType="separate"/>
        </w:r>
        <w:r w:rsidR="00421DFA">
          <w:rPr>
            <w:noProof/>
            <w:webHidden/>
          </w:rPr>
          <w:t>73</w:t>
        </w:r>
        <w:r w:rsidR="00D2055F">
          <w:rPr>
            <w:noProof/>
            <w:webHidden/>
          </w:rPr>
          <w:fldChar w:fldCharType="end"/>
        </w:r>
      </w:hyperlink>
    </w:p>
    <w:p w14:paraId="45AD7C73" w14:textId="77777777" w:rsidR="00D2055F" w:rsidRDefault="0017543F">
      <w:pPr>
        <w:pStyle w:val="TDC2"/>
        <w:tabs>
          <w:tab w:val="right" w:leader="dot" w:pos="9629"/>
        </w:tabs>
        <w:rPr>
          <w:rFonts w:asciiTheme="minorHAnsi" w:eastAsiaTheme="minorEastAsia" w:hAnsiTheme="minorHAnsi" w:cstheme="minorBidi"/>
          <w:noProof/>
          <w:sz w:val="22"/>
          <w:szCs w:val="22"/>
          <w:lang w:val="es-ES" w:eastAsia="es-ES"/>
        </w:rPr>
      </w:pPr>
      <w:hyperlink w:anchor="_Toc132511029" w:history="1">
        <w:r w:rsidR="00D2055F" w:rsidRPr="00947A5F">
          <w:rPr>
            <w:rStyle w:val="Hipervnculo"/>
            <w:rFonts w:cs="Calibri"/>
            <w:noProof/>
          </w:rPr>
          <w:t>43.3.- Sobre os efectos sinérxicos e acumulativos aos humedais.</w:t>
        </w:r>
        <w:r w:rsidR="00D2055F">
          <w:rPr>
            <w:noProof/>
            <w:webHidden/>
          </w:rPr>
          <w:tab/>
        </w:r>
        <w:r w:rsidR="00D2055F">
          <w:rPr>
            <w:noProof/>
            <w:webHidden/>
          </w:rPr>
          <w:fldChar w:fldCharType="begin"/>
        </w:r>
        <w:r w:rsidR="00D2055F">
          <w:rPr>
            <w:noProof/>
            <w:webHidden/>
          </w:rPr>
          <w:instrText xml:space="preserve"> PAGEREF _Toc132511029 \h </w:instrText>
        </w:r>
        <w:r w:rsidR="00D2055F">
          <w:rPr>
            <w:noProof/>
            <w:webHidden/>
          </w:rPr>
        </w:r>
        <w:r w:rsidR="00D2055F">
          <w:rPr>
            <w:noProof/>
            <w:webHidden/>
          </w:rPr>
          <w:fldChar w:fldCharType="separate"/>
        </w:r>
        <w:r w:rsidR="00421DFA">
          <w:rPr>
            <w:noProof/>
            <w:webHidden/>
          </w:rPr>
          <w:t>74</w:t>
        </w:r>
        <w:r w:rsidR="00D2055F">
          <w:rPr>
            <w:noProof/>
            <w:webHidden/>
          </w:rPr>
          <w:fldChar w:fldCharType="end"/>
        </w:r>
      </w:hyperlink>
    </w:p>
    <w:p w14:paraId="2B8C1D59" w14:textId="77777777" w:rsidR="00D2055F" w:rsidRDefault="0017543F">
      <w:pPr>
        <w:pStyle w:val="TDC2"/>
        <w:tabs>
          <w:tab w:val="right" w:leader="dot" w:pos="9629"/>
        </w:tabs>
        <w:rPr>
          <w:rFonts w:asciiTheme="minorHAnsi" w:eastAsiaTheme="minorEastAsia" w:hAnsiTheme="minorHAnsi" w:cstheme="minorBidi"/>
          <w:noProof/>
          <w:sz w:val="22"/>
          <w:szCs w:val="22"/>
          <w:lang w:val="es-ES" w:eastAsia="es-ES"/>
        </w:rPr>
      </w:pPr>
      <w:hyperlink w:anchor="_Toc132511030" w:history="1">
        <w:r w:rsidR="00D2055F" w:rsidRPr="00947A5F">
          <w:rPr>
            <w:rStyle w:val="Hipervnculo"/>
            <w:rFonts w:cs="Calibri"/>
            <w:noProof/>
          </w:rPr>
          <w:t>43.4.- Sobre os efectos sinérxicos e acumulativos ás Areas Especiais de Interés Paisaxístico (AEIP)</w:t>
        </w:r>
        <w:r w:rsidR="00D2055F">
          <w:rPr>
            <w:noProof/>
            <w:webHidden/>
          </w:rPr>
          <w:tab/>
        </w:r>
        <w:r w:rsidR="00D2055F">
          <w:rPr>
            <w:noProof/>
            <w:webHidden/>
          </w:rPr>
          <w:fldChar w:fldCharType="begin"/>
        </w:r>
        <w:r w:rsidR="00D2055F">
          <w:rPr>
            <w:noProof/>
            <w:webHidden/>
          </w:rPr>
          <w:instrText xml:space="preserve"> PAGEREF _Toc132511030 \h </w:instrText>
        </w:r>
        <w:r w:rsidR="00D2055F">
          <w:rPr>
            <w:noProof/>
            <w:webHidden/>
          </w:rPr>
        </w:r>
        <w:r w:rsidR="00D2055F">
          <w:rPr>
            <w:noProof/>
            <w:webHidden/>
          </w:rPr>
          <w:fldChar w:fldCharType="separate"/>
        </w:r>
        <w:r w:rsidR="00421DFA">
          <w:rPr>
            <w:noProof/>
            <w:webHidden/>
          </w:rPr>
          <w:t>75</w:t>
        </w:r>
        <w:r w:rsidR="00D2055F">
          <w:rPr>
            <w:noProof/>
            <w:webHidden/>
          </w:rPr>
          <w:fldChar w:fldCharType="end"/>
        </w:r>
      </w:hyperlink>
    </w:p>
    <w:p w14:paraId="394EA371" w14:textId="77777777" w:rsidR="00D2055F" w:rsidRDefault="0017543F">
      <w:pPr>
        <w:pStyle w:val="TDC2"/>
        <w:tabs>
          <w:tab w:val="right" w:leader="dot" w:pos="9629"/>
        </w:tabs>
        <w:rPr>
          <w:rFonts w:asciiTheme="minorHAnsi" w:eastAsiaTheme="minorEastAsia" w:hAnsiTheme="minorHAnsi" w:cstheme="minorBidi"/>
          <w:noProof/>
          <w:sz w:val="22"/>
          <w:szCs w:val="22"/>
          <w:lang w:val="es-ES" w:eastAsia="es-ES"/>
        </w:rPr>
      </w:pPr>
      <w:hyperlink w:anchor="_Toc132511031" w:history="1">
        <w:r w:rsidR="00D2055F" w:rsidRPr="00947A5F">
          <w:rPr>
            <w:rStyle w:val="Hipervnculo"/>
            <w:rFonts w:cs="Calibri"/>
            <w:noProof/>
          </w:rPr>
          <w:t>43.5.- Sobre os efectos sinérxicos e acumulativos aos recursos hídricos.</w:t>
        </w:r>
        <w:r w:rsidR="00D2055F">
          <w:rPr>
            <w:noProof/>
            <w:webHidden/>
          </w:rPr>
          <w:tab/>
        </w:r>
        <w:r w:rsidR="00D2055F">
          <w:rPr>
            <w:noProof/>
            <w:webHidden/>
          </w:rPr>
          <w:fldChar w:fldCharType="begin"/>
        </w:r>
        <w:r w:rsidR="00D2055F">
          <w:rPr>
            <w:noProof/>
            <w:webHidden/>
          </w:rPr>
          <w:instrText xml:space="preserve"> PAGEREF _Toc132511031 \h </w:instrText>
        </w:r>
        <w:r w:rsidR="00D2055F">
          <w:rPr>
            <w:noProof/>
            <w:webHidden/>
          </w:rPr>
        </w:r>
        <w:r w:rsidR="00D2055F">
          <w:rPr>
            <w:noProof/>
            <w:webHidden/>
          </w:rPr>
          <w:fldChar w:fldCharType="separate"/>
        </w:r>
        <w:r w:rsidR="00421DFA">
          <w:rPr>
            <w:noProof/>
            <w:webHidden/>
          </w:rPr>
          <w:t>78</w:t>
        </w:r>
        <w:r w:rsidR="00D2055F">
          <w:rPr>
            <w:noProof/>
            <w:webHidden/>
          </w:rPr>
          <w:fldChar w:fldCharType="end"/>
        </w:r>
      </w:hyperlink>
    </w:p>
    <w:p w14:paraId="18E1042A" w14:textId="77777777" w:rsidR="00D2055F" w:rsidRDefault="0017543F">
      <w:pPr>
        <w:pStyle w:val="TDC2"/>
        <w:tabs>
          <w:tab w:val="right" w:leader="dot" w:pos="9629"/>
        </w:tabs>
        <w:rPr>
          <w:rFonts w:asciiTheme="minorHAnsi" w:eastAsiaTheme="minorEastAsia" w:hAnsiTheme="minorHAnsi" w:cstheme="minorBidi"/>
          <w:noProof/>
          <w:sz w:val="22"/>
          <w:szCs w:val="22"/>
          <w:lang w:val="es-ES" w:eastAsia="es-ES"/>
        </w:rPr>
      </w:pPr>
      <w:hyperlink w:anchor="_Toc132511032" w:history="1">
        <w:r w:rsidR="00D2055F" w:rsidRPr="00947A5F">
          <w:rPr>
            <w:rStyle w:val="Hipervnculo"/>
            <w:rFonts w:cs="Calibri"/>
            <w:noProof/>
          </w:rPr>
          <w:t>43.6.- Sobre os efectos sinérxicos da liña de evacuación.</w:t>
        </w:r>
        <w:r w:rsidR="00D2055F">
          <w:rPr>
            <w:noProof/>
            <w:webHidden/>
          </w:rPr>
          <w:tab/>
        </w:r>
        <w:r w:rsidR="00D2055F">
          <w:rPr>
            <w:noProof/>
            <w:webHidden/>
          </w:rPr>
          <w:fldChar w:fldCharType="begin"/>
        </w:r>
        <w:r w:rsidR="00D2055F">
          <w:rPr>
            <w:noProof/>
            <w:webHidden/>
          </w:rPr>
          <w:instrText xml:space="preserve"> PAGEREF _Toc132511032 \h </w:instrText>
        </w:r>
        <w:r w:rsidR="00D2055F">
          <w:rPr>
            <w:noProof/>
            <w:webHidden/>
          </w:rPr>
        </w:r>
        <w:r w:rsidR="00D2055F">
          <w:rPr>
            <w:noProof/>
            <w:webHidden/>
          </w:rPr>
          <w:fldChar w:fldCharType="separate"/>
        </w:r>
        <w:r w:rsidR="00421DFA">
          <w:rPr>
            <w:noProof/>
            <w:webHidden/>
          </w:rPr>
          <w:t>79</w:t>
        </w:r>
        <w:r w:rsidR="00D2055F">
          <w:rPr>
            <w:noProof/>
            <w:webHidden/>
          </w:rPr>
          <w:fldChar w:fldCharType="end"/>
        </w:r>
      </w:hyperlink>
    </w:p>
    <w:p w14:paraId="0B697822" w14:textId="77777777" w:rsidR="00D2055F" w:rsidRDefault="0017543F">
      <w:pPr>
        <w:pStyle w:val="TDC2"/>
        <w:tabs>
          <w:tab w:val="right" w:leader="dot" w:pos="9629"/>
        </w:tabs>
        <w:rPr>
          <w:rFonts w:asciiTheme="minorHAnsi" w:eastAsiaTheme="minorEastAsia" w:hAnsiTheme="minorHAnsi" w:cstheme="minorBidi"/>
          <w:noProof/>
          <w:sz w:val="22"/>
          <w:szCs w:val="22"/>
          <w:lang w:val="es-ES" w:eastAsia="es-ES"/>
        </w:rPr>
      </w:pPr>
      <w:hyperlink w:anchor="_Toc132511033" w:history="1">
        <w:r w:rsidR="00D2055F" w:rsidRPr="00947A5F">
          <w:rPr>
            <w:rStyle w:val="Hipervnculo"/>
            <w:rFonts w:cs="Calibri"/>
            <w:noProof/>
          </w:rPr>
          <w:t>43.7.- Sobre os efectos sinérxicos e acumulativos sobre a avifauna.</w:t>
        </w:r>
        <w:r w:rsidR="00D2055F">
          <w:rPr>
            <w:noProof/>
            <w:webHidden/>
          </w:rPr>
          <w:tab/>
        </w:r>
        <w:r w:rsidR="00D2055F">
          <w:rPr>
            <w:noProof/>
            <w:webHidden/>
          </w:rPr>
          <w:fldChar w:fldCharType="begin"/>
        </w:r>
        <w:r w:rsidR="00D2055F">
          <w:rPr>
            <w:noProof/>
            <w:webHidden/>
          </w:rPr>
          <w:instrText xml:space="preserve"> PAGEREF _Toc132511033 \h </w:instrText>
        </w:r>
        <w:r w:rsidR="00D2055F">
          <w:rPr>
            <w:noProof/>
            <w:webHidden/>
          </w:rPr>
        </w:r>
        <w:r w:rsidR="00D2055F">
          <w:rPr>
            <w:noProof/>
            <w:webHidden/>
          </w:rPr>
          <w:fldChar w:fldCharType="separate"/>
        </w:r>
        <w:r w:rsidR="00421DFA">
          <w:rPr>
            <w:noProof/>
            <w:webHidden/>
          </w:rPr>
          <w:t>79</w:t>
        </w:r>
        <w:r w:rsidR="00D2055F">
          <w:rPr>
            <w:noProof/>
            <w:webHidden/>
          </w:rPr>
          <w:fldChar w:fldCharType="end"/>
        </w:r>
      </w:hyperlink>
    </w:p>
    <w:p w14:paraId="68325EA8" w14:textId="77777777" w:rsidR="00D2055F" w:rsidRDefault="0017543F">
      <w:pPr>
        <w:pStyle w:val="TDC1"/>
        <w:rPr>
          <w:rFonts w:asciiTheme="minorHAnsi" w:eastAsiaTheme="minorEastAsia" w:hAnsiTheme="minorHAnsi" w:cstheme="minorBidi"/>
          <w:noProof/>
          <w:lang w:eastAsia="es-ES"/>
        </w:rPr>
      </w:pPr>
      <w:hyperlink w:anchor="_Toc132511034" w:history="1">
        <w:r w:rsidR="00D2055F" w:rsidRPr="00947A5F">
          <w:rPr>
            <w:rStyle w:val="Hipervnculo"/>
            <w:b/>
            <w:noProof/>
          </w:rPr>
          <w:t>ALEGACIÓN 44.-</w:t>
        </w:r>
        <w:r w:rsidR="00D2055F">
          <w:rPr>
            <w:rFonts w:asciiTheme="minorHAnsi" w:eastAsiaTheme="minorEastAsia" w:hAnsiTheme="minorHAnsi" w:cstheme="minorBidi"/>
            <w:noProof/>
            <w:lang w:eastAsia="es-ES"/>
          </w:rPr>
          <w:tab/>
        </w:r>
        <w:r w:rsidR="00D2055F" w:rsidRPr="00947A5F">
          <w:rPr>
            <w:rStyle w:val="Hipervnculo"/>
            <w:b/>
            <w:noProof/>
          </w:rPr>
          <w:t>Non se inclúe unha adecuada avaliación do recurso eólico.</w:t>
        </w:r>
        <w:r w:rsidR="00D2055F">
          <w:rPr>
            <w:noProof/>
            <w:webHidden/>
          </w:rPr>
          <w:tab/>
        </w:r>
        <w:r w:rsidR="00D2055F">
          <w:rPr>
            <w:noProof/>
            <w:webHidden/>
          </w:rPr>
          <w:fldChar w:fldCharType="begin"/>
        </w:r>
        <w:r w:rsidR="00D2055F">
          <w:rPr>
            <w:noProof/>
            <w:webHidden/>
          </w:rPr>
          <w:instrText xml:space="preserve"> PAGEREF _Toc132511034 \h </w:instrText>
        </w:r>
        <w:r w:rsidR="00D2055F">
          <w:rPr>
            <w:noProof/>
            <w:webHidden/>
          </w:rPr>
        </w:r>
        <w:r w:rsidR="00D2055F">
          <w:rPr>
            <w:noProof/>
            <w:webHidden/>
          </w:rPr>
          <w:fldChar w:fldCharType="separate"/>
        </w:r>
        <w:r w:rsidR="00421DFA">
          <w:rPr>
            <w:noProof/>
            <w:webHidden/>
          </w:rPr>
          <w:t>80</w:t>
        </w:r>
        <w:r w:rsidR="00D2055F">
          <w:rPr>
            <w:noProof/>
            <w:webHidden/>
          </w:rPr>
          <w:fldChar w:fldCharType="end"/>
        </w:r>
      </w:hyperlink>
    </w:p>
    <w:p w14:paraId="6F66369C" w14:textId="77777777" w:rsidR="00D2055F" w:rsidRDefault="0017543F">
      <w:pPr>
        <w:pStyle w:val="TDC1"/>
        <w:rPr>
          <w:rFonts w:asciiTheme="minorHAnsi" w:eastAsiaTheme="minorEastAsia" w:hAnsiTheme="minorHAnsi" w:cstheme="minorBidi"/>
          <w:noProof/>
          <w:lang w:eastAsia="es-ES"/>
        </w:rPr>
      </w:pPr>
      <w:hyperlink w:anchor="_Toc132511035" w:history="1">
        <w:r w:rsidR="00D2055F" w:rsidRPr="00947A5F">
          <w:rPr>
            <w:rStyle w:val="Hipervnculo"/>
            <w:b/>
            <w:noProof/>
          </w:rPr>
          <w:t>ALEGACIÓN 45.-</w:t>
        </w:r>
        <w:r w:rsidR="00D2055F">
          <w:rPr>
            <w:rFonts w:asciiTheme="minorHAnsi" w:eastAsiaTheme="minorEastAsia" w:hAnsiTheme="minorHAnsi" w:cstheme="minorBidi"/>
            <w:noProof/>
            <w:lang w:eastAsia="es-ES"/>
          </w:rPr>
          <w:tab/>
        </w:r>
        <w:r w:rsidR="00D2055F" w:rsidRPr="00947A5F">
          <w:rPr>
            <w:rStyle w:val="Hipervnculo"/>
            <w:b/>
            <w:noProof/>
          </w:rPr>
          <w:t>Debe aplicarse o DECRETO 455/1996, de 7 de novembro, de fianzas en materia ambiental.</w:t>
        </w:r>
        <w:r w:rsidR="00D2055F">
          <w:rPr>
            <w:noProof/>
            <w:webHidden/>
          </w:rPr>
          <w:tab/>
        </w:r>
        <w:r w:rsidR="00D2055F">
          <w:rPr>
            <w:noProof/>
            <w:webHidden/>
          </w:rPr>
          <w:fldChar w:fldCharType="begin"/>
        </w:r>
        <w:r w:rsidR="00D2055F">
          <w:rPr>
            <w:noProof/>
            <w:webHidden/>
          </w:rPr>
          <w:instrText xml:space="preserve"> PAGEREF _Toc132511035 \h </w:instrText>
        </w:r>
        <w:r w:rsidR="00D2055F">
          <w:rPr>
            <w:noProof/>
            <w:webHidden/>
          </w:rPr>
        </w:r>
        <w:r w:rsidR="00D2055F">
          <w:rPr>
            <w:noProof/>
            <w:webHidden/>
          </w:rPr>
          <w:fldChar w:fldCharType="separate"/>
        </w:r>
        <w:r w:rsidR="00421DFA">
          <w:rPr>
            <w:noProof/>
            <w:webHidden/>
          </w:rPr>
          <w:t>81</w:t>
        </w:r>
        <w:r w:rsidR="00D2055F">
          <w:rPr>
            <w:noProof/>
            <w:webHidden/>
          </w:rPr>
          <w:fldChar w:fldCharType="end"/>
        </w:r>
      </w:hyperlink>
    </w:p>
    <w:p w14:paraId="3F49E7DF" w14:textId="77777777" w:rsidR="00D2055F" w:rsidRDefault="0017543F">
      <w:pPr>
        <w:pStyle w:val="TDC1"/>
        <w:rPr>
          <w:rFonts w:asciiTheme="minorHAnsi" w:eastAsiaTheme="minorEastAsia" w:hAnsiTheme="minorHAnsi" w:cstheme="minorBidi"/>
          <w:noProof/>
          <w:lang w:eastAsia="es-ES"/>
        </w:rPr>
      </w:pPr>
      <w:hyperlink w:anchor="_Toc132511036" w:history="1">
        <w:r w:rsidR="00D2055F" w:rsidRPr="00947A5F">
          <w:rPr>
            <w:rStyle w:val="Hipervnculo"/>
            <w:b/>
            <w:noProof/>
          </w:rPr>
          <w:t>ALEGACIÓN 46.-</w:t>
        </w:r>
        <w:r w:rsidR="00D2055F">
          <w:rPr>
            <w:rFonts w:asciiTheme="minorHAnsi" w:eastAsiaTheme="minorEastAsia" w:hAnsiTheme="minorHAnsi" w:cstheme="minorBidi"/>
            <w:noProof/>
            <w:lang w:eastAsia="es-ES"/>
          </w:rPr>
          <w:tab/>
        </w:r>
        <w:r w:rsidR="00D2055F" w:rsidRPr="00947A5F">
          <w:rPr>
            <w:rStyle w:val="Hipervnculo"/>
            <w:b/>
            <w:noProof/>
          </w:rPr>
          <w:t>Vulneración da Lei 21/2013 de avaliación ambiental. .</w:t>
        </w:r>
        <w:r w:rsidR="00D2055F">
          <w:rPr>
            <w:noProof/>
            <w:webHidden/>
          </w:rPr>
          <w:tab/>
        </w:r>
        <w:r w:rsidR="00D2055F">
          <w:rPr>
            <w:noProof/>
            <w:webHidden/>
          </w:rPr>
          <w:fldChar w:fldCharType="begin"/>
        </w:r>
        <w:r w:rsidR="00D2055F">
          <w:rPr>
            <w:noProof/>
            <w:webHidden/>
          </w:rPr>
          <w:instrText xml:space="preserve"> PAGEREF _Toc132511036 \h </w:instrText>
        </w:r>
        <w:r w:rsidR="00D2055F">
          <w:rPr>
            <w:noProof/>
            <w:webHidden/>
          </w:rPr>
        </w:r>
        <w:r w:rsidR="00D2055F">
          <w:rPr>
            <w:noProof/>
            <w:webHidden/>
          </w:rPr>
          <w:fldChar w:fldCharType="separate"/>
        </w:r>
        <w:r w:rsidR="00421DFA">
          <w:rPr>
            <w:noProof/>
            <w:webHidden/>
          </w:rPr>
          <w:t>81</w:t>
        </w:r>
        <w:r w:rsidR="00D2055F">
          <w:rPr>
            <w:noProof/>
            <w:webHidden/>
          </w:rPr>
          <w:fldChar w:fldCharType="end"/>
        </w:r>
      </w:hyperlink>
    </w:p>
    <w:p w14:paraId="115130C1" w14:textId="77777777" w:rsidR="00D2055F" w:rsidRDefault="0017543F">
      <w:pPr>
        <w:pStyle w:val="TDC1"/>
        <w:rPr>
          <w:rFonts w:asciiTheme="minorHAnsi" w:eastAsiaTheme="minorEastAsia" w:hAnsiTheme="minorHAnsi" w:cstheme="minorBidi"/>
          <w:noProof/>
          <w:lang w:eastAsia="es-ES"/>
        </w:rPr>
      </w:pPr>
      <w:hyperlink w:anchor="_Toc132511037" w:history="1">
        <w:r w:rsidR="00D2055F" w:rsidRPr="00947A5F">
          <w:rPr>
            <w:rStyle w:val="Hipervnculo"/>
            <w:rFonts w:cs="Calibri"/>
            <w:b/>
            <w:bCs/>
            <w:noProof/>
          </w:rPr>
          <w:t>ALEGACIÓN 47.-</w:t>
        </w:r>
        <w:r w:rsidR="00D2055F">
          <w:rPr>
            <w:rFonts w:asciiTheme="minorHAnsi" w:eastAsiaTheme="minorEastAsia" w:hAnsiTheme="minorHAnsi" w:cstheme="minorBidi"/>
            <w:noProof/>
            <w:lang w:eastAsia="es-ES"/>
          </w:rPr>
          <w:tab/>
        </w:r>
        <w:r w:rsidR="00D2055F" w:rsidRPr="00947A5F">
          <w:rPr>
            <w:rStyle w:val="Hipervnculo"/>
            <w:rFonts w:cs="Calibri"/>
            <w:b/>
            <w:bCs/>
            <w:noProof/>
          </w:rPr>
          <w:t>A avaliación negativa de dito proxecto, e polo tanto a non execución do mesmo.</w:t>
        </w:r>
        <w:r w:rsidR="00D2055F">
          <w:rPr>
            <w:noProof/>
            <w:webHidden/>
          </w:rPr>
          <w:tab/>
        </w:r>
        <w:r w:rsidR="00D2055F">
          <w:rPr>
            <w:noProof/>
            <w:webHidden/>
          </w:rPr>
          <w:fldChar w:fldCharType="begin"/>
        </w:r>
        <w:r w:rsidR="00D2055F">
          <w:rPr>
            <w:noProof/>
            <w:webHidden/>
          </w:rPr>
          <w:instrText xml:space="preserve"> PAGEREF _Toc132511037 \h </w:instrText>
        </w:r>
        <w:r w:rsidR="00D2055F">
          <w:rPr>
            <w:noProof/>
            <w:webHidden/>
          </w:rPr>
        </w:r>
        <w:r w:rsidR="00D2055F">
          <w:rPr>
            <w:noProof/>
            <w:webHidden/>
          </w:rPr>
          <w:fldChar w:fldCharType="separate"/>
        </w:r>
        <w:r w:rsidR="00421DFA">
          <w:rPr>
            <w:noProof/>
            <w:webHidden/>
          </w:rPr>
          <w:t>83</w:t>
        </w:r>
        <w:r w:rsidR="00D2055F">
          <w:rPr>
            <w:noProof/>
            <w:webHidden/>
          </w:rPr>
          <w:fldChar w:fldCharType="end"/>
        </w:r>
      </w:hyperlink>
    </w:p>
    <w:p w14:paraId="72C80E50" w14:textId="77777777" w:rsidR="00D2055F" w:rsidRDefault="0017543F">
      <w:pPr>
        <w:pStyle w:val="TDC1"/>
        <w:rPr>
          <w:rFonts w:asciiTheme="minorHAnsi" w:eastAsiaTheme="minorEastAsia" w:hAnsiTheme="minorHAnsi" w:cstheme="minorBidi"/>
          <w:noProof/>
          <w:lang w:eastAsia="es-ES"/>
        </w:rPr>
      </w:pPr>
      <w:hyperlink w:anchor="_Toc132511038" w:history="1">
        <w:r w:rsidR="00D2055F" w:rsidRPr="00947A5F">
          <w:rPr>
            <w:rStyle w:val="Hipervnculo"/>
            <w:rFonts w:cs="Calibri"/>
            <w:b/>
            <w:bCs/>
            <w:noProof/>
          </w:rPr>
          <w:t>ALEGACIÓN 48.-</w:t>
        </w:r>
        <w:r w:rsidR="00D2055F">
          <w:rPr>
            <w:rFonts w:asciiTheme="minorHAnsi" w:eastAsiaTheme="minorEastAsia" w:hAnsiTheme="minorHAnsi" w:cstheme="minorBidi"/>
            <w:noProof/>
            <w:lang w:eastAsia="es-ES"/>
          </w:rPr>
          <w:tab/>
        </w:r>
        <w:r w:rsidR="00D2055F" w:rsidRPr="00947A5F">
          <w:rPr>
            <w:rStyle w:val="Hipervnculo"/>
            <w:rFonts w:cs="Calibri"/>
            <w:b/>
            <w:bCs/>
            <w:noProof/>
          </w:rPr>
          <w:t>A afección grave as áreas de campeo das greas de garranos (</w:t>
        </w:r>
        <w:r w:rsidR="00D2055F" w:rsidRPr="00947A5F">
          <w:rPr>
            <w:rStyle w:val="Hipervnculo"/>
            <w:rFonts w:cs="Calibri"/>
            <w:b/>
            <w:bCs/>
            <w:i/>
            <w:noProof/>
          </w:rPr>
          <w:t>Equus ferus atlánticus)</w:t>
        </w:r>
        <w:r w:rsidR="00D2055F" w:rsidRPr="00947A5F">
          <w:rPr>
            <w:rStyle w:val="Hipervnculo"/>
            <w:rFonts w:cs="Calibri"/>
            <w:b/>
            <w:bCs/>
            <w:noProof/>
          </w:rPr>
          <w:t>, que entran no curro de Torroña e San Cibrán nos concellos de Oia e de Gondomar respectivamente.</w:t>
        </w:r>
        <w:r w:rsidR="00D2055F">
          <w:rPr>
            <w:noProof/>
            <w:webHidden/>
          </w:rPr>
          <w:tab/>
        </w:r>
        <w:r w:rsidR="00D2055F">
          <w:rPr>
            <w:noProof/>
            <w:webHidden/>
          </w:rPr>
          <w:fldChar w:fldCharType="begin"/>
        </w:r>
        <w:r w:rsidR="00D2055F">
          <w:rPr>
            <w:noProof/>
            <w:webHidden/>
          </w:rPr>
          <w:instrText xml:space="preserve"> PAGEREF _Toc132511038 \h </w:instrText>
        </w:r>
        <w:r w:rsidR="00D2055F">
          <w:rPr>
            <w:noProof/>
            <w:webHidden/>
          </w:rPr>
        </w:r>
        <w:r w:rsidR="00D2055F">
          <w:rPr>
            <w:noProof/>
            <w:webHidden/>
          </w:rPr>
          <w:fldChar w:fldCharType="separate"/>
        </w:r>
        <w:r w:rsidR="00421DFA">
          <w:rPr>
            <w:noProof/>
            <w:webHidden/>
          </w:rPr>
          <w:t>83</w:t>
        </w:r>
        <w:r w:rsidR="00D2055F">
          <w:rPr>
            <w:noProof/>
            <w:webHidden/>
          </w:rPr>
          <w:fldChar w:fldCharType="end"/>
        </w:r>
      </w:hyperlink>
    </w:p>
    <w:p w14:paraId="7FDA07B9" w14:textId="77777777" w:rsidR="00D2055F" w:rsidRDefault="0017543F">
      <w:pPr>
        <w:pStyle w:val="TDC1"/>
        <w:rPr>
          <w:rFonts w:asciiTheme="minorHAnsi" w:eastAsiaTheme="minorEastAsia" w:hAnsiTheme="minorHAnsi" w:cstheme="minorBidi"/>
          <w:noProof/>
          <w:lang w:eastAsia="es-ES"/>
        </w:rPr>
      </w:pPr>
      <w:hyperlink w:anchor="_Toc132511039" w:history="1">
        <w:r w:rsidR="00D2055F" w:rsidRPr="00947A5F">
          <w:rPr>
            <w:rStyle w:val="Hipervnculo"/>
            <w:rFonts w:cs="Calibri"/>
            <w:b/>
            <w:bCs/>
            <w:noProof/>
          </w:rPr>
          <w:t>ALEGACIÓN 49.-</w:t>
        </w:r>
        <w:r w:rsidR="00D2055F">
          <w:rPr>
            <w:rFonts w:asciiTheme="minorHAnsi" w:eastAsiaTheme="minorEastAsia" w:hAnsiTheme="minorHAnsi" w:cstheme="minorBidi"/>
            <w:noProof/>
            <w:lang w:eastAsia="es-ES"/>
          </w:rPr>
          <w:tab/>
        </w:r>
        <w:r w:rsidR="00D2055F" w:rsidRPr="00947A5F">
          <w:rPr>
            <w:rStyle w:val="Hipervnculo"/>
            <w:rFonts w:cs="Calibri"/>
            <w:b/>
            <w:bCs/>
            <w:noProof/>
          </w:rPr>
          <w:t xml:space="preserve">Afección grave á área de patrimonio inmaterial </w:t>
        </w:r>
        <w:r w:rsidR="00D2055F" w:rsidRPr="00947A5F">
          <w:rPr>
            <w:rStyle w:val="Hipervnculo"/>
            <w:rFonts w:cs="Calibri"/>
            <w:b/>
            <w:bCs/>
            <w:i/>
            <w:noProof/>
          </w:rPr>
          <w:t>Curro de Toroña.</w:t>
        </w:r>
        <w:r w:rsidR="00D2055F">
          <w:rPr>
            <w:noProof/>
            <w:webHidden/>
          </w:rPr>
          <w:tab/>
        </w:r>
        <w:r w:rsidR="00D2055F">
          <w:rPr>
            <w:noProof/>
            <w:webHidden/>
          </w:rPr>
          <w:fldChar w:fldCharType="begin"/>
        </w:r>
        <w:r w:rsidR="00D2055F">
          <w:rPr>
            <w:noProof/>
            <w:webHidden/>
          </w:rPr>
          <w:instrText xml:space="preserve"> PAGEREF _Toc132511039 \h </w:instrText>
        </w:r>
        <w:r w:rsidR="00D2055F">
          <w:rPr>
            <w:noProof/>
            <w:webHidden/>
          </w:rPr>
        </w:r>
        <w:r w:rsidR="00D2055F">
          <w:rPr>
            <w:noProof/>
            <w:webHidden/>
          </w:rPr>
          <w:fldChar w:fldCharType="separate"/>
        </w:r>
        <w:r w:rsidR="00421DFA">
          <w:rPr>
            <w:noProof/>
            <w:webHidden/>
          </w:rPr>
          <w:t>84</w:t>
        </w:r>
        <w:r w:rsidR="00D2055F">
          <w:rPr>
            <w:noProof/>
            <w:webHidden/>
          </w:rPr>
          <w:fldChar w:fldCharType="end"/>
        </w:r>
      </w:hyperlink>
    </w:p>
    <w:p w14:paraId="6A673D5D" w14:textId="77777777" w:rsidR="00D2055F" w:rsidRDefault="0017543F">
      <w:pPr>
        <w:pStyle w:val="TDC1"/>
        <w:rPr>
          <w:rFonts w:asciiTheme="minorHAnsi" w:eastAsiaTheme="minorEastAsia" w:hAnsiTheme="minorHAnsi" w:cstheme="minorBidi"/>
          <w:noProof/>
          <w:lang w:eastAsia="es-ES"/>
        </w:rPr>
      </w:pPr>
      <w:hyperlink w:anchor="_Toc132511040" w:history="1">
        <w:r w:rsidR="00D2055F" w:rsidRPr="00947A5F">
          <w:rPr>
            <w:rStyle w:val="Hipervnculo"/>
            <w:rFonts w:cs="Calibri"/>
            <w:b/>
            <w:bCs/>
            <w:noProof/>
          </w:rPr>
          <w:t>ALEGACIÓN 50.-</w:t>
        </w:r>
        <w:r w:rsidR="00D2055F">
          <w:rPr>
            <w:rFonts w:asciiTheme="minorHAnsi" w:eastAsiaTheme="minorEastAsia" w:hAnsiTheme="minorHAnsi" w:cstheme="minorBidi"/>
            <w:noProof/>
            <w:lang w:eastAsia="es-ES"/>
          </w:rPr>
          <w:tab/>
        </w:r>
        <w:r w:rsidR="00D2055F" w:rsidRPr="00947A5F">
          <w:rPr>
            <w:rStyle w:val="Hipervnculo"/>
            <w:rFonts w:cs="Calibri"/>
            <w:b/>
            <w:bCs/>
            <w:noProof/>
          </w:rPr>
          <w:t xml:space="preserve">Afección grave á área de patrimonio inmaterial </w:t>
        </w:r>
        <w:r w:rsidR="00D2055F" w:rsidRPr="00947A5F">
          <w:rPr>
            <w:rStyle w:val="Hipervnculo"/>
            <w:rFonts w:cs="Calibri"/>
            <w:b/>
            <w:bCs/>
            <w:i/>
            <w:noProof/>
          </w:rPr>
          <w:t>Curro de San Cibrán.</w:t>
        </w:r>
        <w:r w:rsidR="00D2055F">
          <w:rPr>
            <w:noProof/>
            <w:webHidden/>
          </w:rPr>
          <w:tab/>
        </w:r>
        <w:r w:rsidR="00D2055F">
          <w:rPr>
            <w:noProof/>
            <w:webHidden/>
          </w:rPr>
          <w:fldChar w:fldCharType="begin"/>
        </w:r>
        <w:r w:rsidR="00D2055F">
          <w:rPr>
            <w:noProof/>
            <w:webHidden/>
          </w:rPr>
          <w:instrText xml:space="preserve"> PAGEREF _Toc132511040 \h </w:instrText>
        </w:r>
        <w:r w:rsidR="00D2055F">
          <w:rPr>
            <w:noProof/>
            <w:webHidden/>
          </w:rPr>
        </w:r>
        <w:r w:rsidR="00D2055F">
          <w:rPr>
            <w:noProof/>
            <w:webHidden/>
          </w:rPr>
          <w:fldChar w:fldCharType="separate"/>
        </w:r>
        <w:r w:rsidR="00421DFA">
          <w:rPr>
            <w:noProof/>
            <w:webHidden/>
          </w:rPr>
          <w:t>85</w:t>
        </w:r>
        <w:r w:rsidR="00D2055F">
          <w:rPr>
            <w:noProof/>
            <w:webHidden/>
          </w:rPr>
          <w:fldChar w:fldCharType="end"/>
        </w:r>
      </w:hyperlink>
    </w:p>
    <w:p w14:paraId="15AA0E0D" w14:textId="77777777" w:rsidR="00D2055F" w:rsidRDefault="0017543F">
      <w:pPr>
        <w:pStyle w:val="TDC1"/>
        <w:rPr>
          <w:rFonts w:asciiTheme="minorHAnsi" w:eastAsiaTheme="minorEastAsia" w:hAnsiTheme="minorHAnsi" w:cstheme="minorBidi"/>
          <w:noProof/>
          <w:lang w:eastAsia="es-ES"/>
        </w:rPr>
      </w:pPr>
      <w:hyperlink w:anchor="_Toc132511041" w:history="1">
        <w:r w:rsidR="00D2055F" w:rsidRPr="00947A5F">
          <w:rPr>
            <w:rStyle w:val="Hipervnculo"/>
            <w:rFonts w:cs="Calibri"/>
            <w:b/>
            <w:bCs/>
            <w:noProof/>
          </w:rPr>
          <w:t>ALEGACIÓN 51.-</w:t>
        </w:r>
        <w:r w:rsidR="00D2055F">
          <w:rPr>
            <w:rFonts w:asciiTheme="minorHAnsi" w:eastAsiaTheme="minorEastAsia" w:hAnsiTheme="minorHAnsi" w:cstheme="minorBidi"/>
            <w:noProof/>
            <w:lang w:eastAsia="es-ES"/>
          </w:rPr>
          <w:tab/>
        </w:r>
        <w:r w:rsidR="00D2055F" w:rsidRPr="00947A5F">
          <w:rPr>
            <w:rStyle w:val="Hipervnculo"/>
            <w:rFonts w:cs="Calibri"/>
            <w:b/>
            <w:bCs/>
            <w:noProof/>
          </w:rPr>
          <w:t>Fallas graves na revisión bibliográfica e na elaboración do proxecto de avaliación</w:t>
        </w:r>
        <w:r w:rsidR="00D2055F" w:rsidRPr="00947A5F">
          <w:rPr>
            <w:rStyle w:val="Hipervnculo"/>
            <w:rFonts w:cs="Calibri"/>
            <w:b/>
            <w:bCs/>
            <w:i/>
            <w:noProof/>
          </w:rPr>
          <w:t>.</w:t>
        </w:r>
        <w:r w:rsidR="00D2055F">
          <w:rPr>
            <w:noProof/>
            <w:webHidden/>
          </w:rPr>
          <w:tab/>
        </w:r>
        <w:r w:rsidR="00D2055F">
          <w:rPr>
            <w:noProof/>
            <w:webHidden/>
          </w:rPr>
          <w:fldChar w:fldCharType="begin"/>
        </w:r>
        <w:r w:rsidR="00D2055F">
          <w:rPr>
            <w:noProof/>
            <w:webHidden/>
          </w:rPr>
          <w:instrText xml:space="preserve"> PAGEREF _Toc132511041 \h </w:instrText>
        </w:r>
        <w:r w:rsidR="00D2055F">
          <w:rPr>
            <w:noProof/>
            <w:webHidden/>
          </w:rPr>
        </w:r>
        <w:r w:rsidR="00D2055F">
          <w:rPr>
            <w:noProof/>
            <w:webHidden/>
          </w:rPr>
          <w:fldChar w:fldCharType="separate"/>
        </w:r>
        <w:r w:rsidR="00421DFA">
          <w:rPr>
            <w:noProof/>
            <w:webHidden/>
          </w:rPr>
          <w:t>86</w:t>
        </w:r>
        <w:r w:rsidR="00D2055F">
          <w:rPr>
            <w:noProof/>
            <w:webHidden/>
          </w:rPr>
          <w:fldChar w:fldCharType="end"/>
        </w:r>
      </w:hyperlink>
    </w:p>
    <w:p w14:paraId="37E9C677" w14:textId="77777777" w:rsidR="00D2055F" w:rsidRDefault="0017543F">
      <w:pPr>
        <w:pStyle w:val="TDC1"/>
        <w:rPr>
          <w:rFonts w:asciiTheme="minorHAnsi" w:eastAsiaTheme="minorEastAsia" w:hAnsiTheme="minorHAnsi" w:cstheme="minorBidi"/>
          <w:noProof/>
          <w:lang w:eastAsia="es-ES"/>
        </w:rPr>
      </w:pPr>
      <w:hyperlink w:anchor="_Toc132511042" w:history="1">
        <w:r w:rsidR="00D2055F" w:rsidRPr="00947A5F">
          <w:rPr>
            <w:rStyle w:val="Hipervnculo"/>
            <w:rFonts w:cs="Calibri"/>
            <w:b/>
            <w:bCs/>
            <w:noProof/>
          </w:rPr>
          <w:t>ALEGACIÓN 52.-</w:t>
        </w:r>
        <w:r w:rsidR="00D2055F">
          <w:rPr>
            <w:rFonts w:asciiTheme="minorHAnsi" w:eastAsiaTheme="minorEastAsia" w:hAnsiTheme="minorHAnsi" w:cstheme="minorBidi"/>
            <w:noProof/>
            <w:lang w:eastAsia="es-ES"/>
          </w:rPr>
          <w:tab/>
        </w:r>
        <w:r w:rsidR="00D2055F" w:rsidRPr="00947A5F">
          <w:rPr>
            <w:rStyle w:val="Hipervnculo"/>
            <w:rFonts w:cs="Calibri"/>
            <w:b/>
            <w:bCs/>
            <w:noProof/>
          </w:rPr>
          <w:t>Fallas graves na revisión e denominación toponímica, que inducen a graves errors.</w:t>
        </w:r>
        <w:r w:rsidR="00D2055F">
          <w:rPr>
            <w:noProof/>
            <w:webHidden/>
          </w:rPr>
          <w:tab/>
        </w:r>
        <w:r w:rsidR="00D2055F">
          <w:rPr>
            <w:noProof/>
            <w:webHidden/>
          </w:rPr>
          <w:fldChar w:fldCharType="begin"/>
        </w:r>
        <w:r w:rsidR="00D2055F">
          <w:rPr>
            <w:noProof/>
            <w:webHidden/>
          </w:rPr>
          <w:instrText xml:space="preserve"> PAGEREF _Toc132511042 \h </w:instrText>
        </w:r>
        <w:r w:rsidR="00D2055F">
          <w:rPr>
            <w:noProof/>
            <w:webHidden/>
          </w:rPr>
        </w:r>
        <w:r w:rsidR="00D2055F">
          <w:rPr>
            <w:noProof/>
            <w:webHidden/>
          </w:rPr>
          <w:fldChar w:fldCharType="separate"/>
        </w:r>
        <w:r w:rsidR="00421DFA">
          <w:rPr>
            <w:noProof/>
            <w:webHidden/>
          </w:rPr>
          <w:t>90</w:t>
        </w:r>
        <w:r w:rsidR="00D2055F">
          <w:rPr>
            <w:noProof/>
            <w:webHidden/>
          </w:rPr>
          <w:fldChar w:fldCharType="end"/>
        </w:r>
      </w:hyperlink>
    </w:p>
    <w:p w14:paraId="1E6F907C" w14:textId="77777777" w:rsidR="00D2055F" w:rsidRDefault="0017543F">
      <w:pPr>
        <w:pStyle w:val="TDC1"/>
        <w:rPr>
          <w:rFonts w:asciiTheme="minorHAnsi" w:eastAsiaTheme="minorEastAsia" w:hAnsiTheme="minorHAnsi" w:cstheme="minorBidi"/>
          <w:noProof/>
          <w:lang w:eastAsia="es-ES"/>
        </w:rPr>
      </w:pPr>
      <w:hyperlink w:anchor="_Toc132511043" w:history="1">
        <w:r w:rsidR="00D2055F" w:rsidRPr="00947A5F">
          <w:rPr>
            <w:rStyle w:val="Hipervnculo"/>
            <w:rFonts w:cs="Calibri"/>
            <w:b/>
            <w:bCs/>
            <w:noProof/>
          </w:rPr>
          <w:t>ALEGACIÓN 53.-</w:t>
        </w:r>
        <w:r w:rsidR="00D2055F">
          <w:rPr>
            <w:rFonts w:asciiTheme="minorHAnsi" w:eastAsiaTheme="minorEastAsia" w:hAnsiTheme="minorHAnsi" w:cstheme="minorBidi"/>
            <w:noProof/>
            <w:lang w:eastAsia="es-ES"/>
          </w:rPr>
          <w:tab/>
        </w:r>
        <w:r w:rsidR="00D2055F" w:rsidRPr="00947A5F">
          <w:rPr>
            <w:rStyle w:val="Hipervnculo"/>
            <w:rFonts w:cs="Calibri"/>
            <w:b/>
            <w:bCs/>
            <w:noProof/>
          </w:rPr>
          <w:t>No informe de impacto arqueolóxico non se contempla a totalidade do patrimonio afectado nin outros elementos non localizados no estudo presentado.</w:t>
        </w:r>
        <w:r w:rsidR="00D2055F">
          <w:rPr>
            <w:noProof/>
            <w:webHidden/>
          </w:rPr>
          <w:tab/>
        </w:r>
        <w:r w:rsidR="00D2055F">
          <w:rPr>
            <w:noProof/>
            <w:webHidden/>
          </w:rPr>
          <w:fldChar w:fldCharType="begin"/>
        </w:r>
        <w:r w:rsidR="00D2055F">
          <w:rPr>
            <w:noProof/>
            <w:webHidden/>
          </w:rPr>
          <w:instrText xml:space="preserve"> PAGEREF _Toc132511043 \h </w:instrText>
        </w:r>
        <w:r w:rsidR="00D2055F">
          <w:rPr>
            <w:noProof/>
            <w:webHidden/>
          </w:rPr>
        </w:r>
        <w:r w:rsidR="00D2055F">
          <w:rPr>
            <w:noProof/>
            <w:webHidden/>
          </w:rPr>
          <w:fldChar w:fldCharType="separate"/>
        </w:r>
        <w:r w:rsidR="00421DFA">
          <w:rPr>
            <w:noProof/>
            <w:webHidden/>
          </w:rPr>
          <w:t>91</w:t>
        </w:r>
        <w:r w:rsidR="00D2055F">
          <w:rPr>
            <w:noProof/>
            <w:webHidden/>
          </w:rPr>
          <w:fldChar w:fldCharType="end"/>
        </w:r>
      </w:hyperlink>
    </w:p>
    <w:p w14:paraId="3906A2F0" w14:textId="77777777" w:rsidR="00D2055F" w:rsidRDefault="0017543F">
      <w:pPr>
        <w:pStyle w:val="TDC1"/>
        <w:rPr>
          <w:rFonts w:asciiTheme="minorHAnsi" w:eastAsiaTheme="minorEastAsia" w:hAnsiTheme="minorHAnsi" w:cstheme="minorBidi"/>
          <w:noProof/>
          <w:lang w:eastAsia="es-ES"/>
        </w:rPr>
      </w:pPr>
      <w:hyperlink w:anchor="_Toc132511044" w:history="1">
        <w:r w:rsidR="00D2055F" w:rsidRPr="00947A5F">
          <w:rPr>
            <w:rStyle w:val="Hipervnculo"/>
            <w:rFonts w:cs="Calibri"/>
            <w:b/>
            <w:bCs/>
            <w:noProof/>
          </w:rPr>
          <w:t>ALEGACIÓN 54.-</w:t>
        </w:r>
        <w:r w:rsidR="00D2055F">
          <w:rPr>
            <w:rFonts w:asciiTheme="minorHAnsi" w:eastAsiaTheme="minorEastAsia" w:hAnsiTheme="minorHAnsi" w:cstheme="minorBidi"/>
            <w:noProof/>
            <w:lang w:eastAsia="es-ES"/>
          </w:rPr>
          <w:tab/>
        </w:r>
        <w:r w:rsidR="00D2055F" w:rsidRPr="00947A5F">
          <w:rPr>
            <w:rStyle w:val="Hipervnculo"/>
            <w:rFonts w:cs="Calibri"/>
            <w:b/>
            <w:bCs/>
            <w:noProof/>
          </w:rPr>
          <w:t>Toda a poligonal do PE Torroña I está no que se podería calificar como área de paisaxe arqueolóxica, dada a numerosa densidade de elementos de diversa índole.</w:t>
        </w:r>
        <w:r w:rsidR="00D2055F">
          <w:rPr>
            <w:noProof/>
            <w:webHidden/>
          </w:rPr>
          <w:tab/>
        </w:r>
        <w:r w:rsidR="00D2055F">
          <w:rPr>
            <w:noProof/>
            <w:webHidden/>
          </w:rPr>
          <w:fldChar w:fldCharType="begin"/>
        </w:r>
        <w:r w:rsidR="00D2055F">
          <w:rPr>
            <w:noProof/>
            <w:webHidden/>
          </w:rPr>
          <w:instrText xml:space="preserve"> PAGEREF _Toc132511044 \h </w:instrText>
        </w:r>
        <w:r w:rsidR="00D2055F">
          <w:rPr>
            <w:noProof/>
            <w:webHidden/>
          </w:rPr>
        </w:r>
        <w:r w:rsidR="00D2055F">
          <w:rPr>
            <w:noProof/>
            <w:webHidden/>
          </w:rPr>
          <w:fldChar w:fldCharType="separate"/>
        </w:r>
        <w:r w:rsidR="00421DFA">
          <w:rPr>
            <w:noProof/>
            <w:webHidden/>
          </w:rPr>
          <w:t>92</w:t>
        </w:r>
        <w:r w:rsidR="00D2055F">
          <w:rPr>
            <w:noProof/>
            <w:webHidden/>
          </w:rPr>
          <w:fldChar w:fldCharType="end"/>
        </w:r>
      </w:hyperlink>
    </w:p>
    <w:p w14:paraId="4EA5AC60" w14:textId="77777777" w:rsidR="00D2055F" w:rsidRDefault="0017543F">
      <w:pPr>
        <w:pStyle w:val="TDC1"/>
        <w:rPr>
          <w:rFonts w:asciiTheme="minorHAnsi" w:eastAsiaTheme="minorEastAsia" w:hAnsiTheme="minorHAnsi" w:cstheme="minorBidi"/>
          <w:noProof/>
          <w:lang w:eastAsia="es-ES"/>
        </w:rPr>
      </w:pPr>
      <w:hyperlink w:anchor="_Toc132511045" w:history="1">
        <w:r w:rsidR="00D2055F" w:rsidRPr="00947A5F">
          <w:rPr>
            <w:rStyle w:val="Hipervnculo"/>
            <w:rFonts w:cs="Calibri"/>
            <w:b/>
            <w:bCs/>
            <w:noProof/>
          </w:rPr>
          <w:t>ALEGACIÓN 55.-</w:t>
        </w:r>
        <w:r w:rsidR="00D2055F">
          <w:rPr>
            <w:rFonts w:asciiTheme="minorHAnsi" w:eastAsiaTheme="minorEastAsia" w:hAnsiTheme="minorHAnsi" w:cstheme="minorBidi"/>
            <w:noProof/>
            <w:lang w:eastAsia="es-ES"/>
          </w:rPr>
          <w:tab/>
        </w:r>
        <w:r w:rsidR="00D2055F" w:rsidRPr="00947A5F">
          <w:rPr>
            <w:rStyle w:val="Hipervnculo"/>
            <w:rFonts w:cs="Calibri"/>
            <w:b/>
            <w:bCs/>
            <w:noProof/>
          </w:rPr>
          <w:t>O patrimonio das Casetas forestais non se contempla no EsIA.</w:t>
        </w:r>
        <w:r w:rsidR="00D2055F">
          <w:rPr>
            <w:noProof/>
            <w:webHidden/>
          </w:rPr>
          <w:tab/>
        </w:r>
        <w:r w:rsidR="00D2055F">
          <w:rPr>
            <w:noProof/>
            <w:webHidden/>
          </w:rPr>
          <w:fldChar w:fldCharType="begin"/>
        </w:r>
        <w:r w:rsidR="00D2055F">
          <w:rPr>
            <w:noProof/>
            <w:webHidden/>
          </w:rPr>
          <w:instrText xml:space="preserve"> PAGEREF _Toc132511045 \h </w:instrText>
        </w:r>
        <w:r w:rsidR="00D2055F">
          <w:rPr>
            <w:noProof/>
            <w:webHidden/>
          </w:rPr>
        </w:r>
        <w:r w:rsidR="00D2055F">
          <w:rPr>
            <w:noProof/>
            <w:webHidden/>
          </w:rPr>
          <w:fldChar w:fldCharType="separate"/>
        </w:r>
        <w:r w:rsidR="00421DFA">
          <w:rPr>
            <w:noProof/>
            <w:webHidden/>
          </w:rPr>
          <w:t>92</w:t>
        </w:r>
        <w:r w:rsidR="00D2055F">
          <w:rPr>
            <w:noProof/>
            <w:webHidden/>
          </w:rPr>
          <w:fldChar w:fldCharType="end"/>
        </w:r>
      </w:hyperlink>
    </w:p>
    <w:p w14:paraId="44D2BAE3" w14:textId="77777777" w:rsidR="00D2055F" w:rsidRDefault="0017543F">
      <w:pPr>
        <w:pStyle w:val="TDC1"/>
        <w:rPr>
          <w:rFonts w:asciiTheme="minorHAnsi" w:eastAsiaTheme="minorEastAsia" w:hAnsiTheme="minorHAnsi" w:cstheme="minorBidi"/>
          <w:noProof/>
          <w:lang w:eastAsia="es-ES"/>
        </w:rPr>
      </w:pPr>
      <w:hyperlink w:anchor="_Toc132511046" w:history="1">
        <w:r w:rsidR="00D2055F" w:rsidRPr="00947A5F">
          <w:rPr>
            <w:rStyle w:val="Hipervnculo"/>
            <w:rFonts w:cs="Calibri"/>
            <w:b/>
            <w:bCs/>
            <w:noProof/>
          </w:rPr>
          <w:t>ALEGACIÓN 56.-</w:t>
        </w:r>
        <w:r w:rsidR="00D2055F">
          <w:rPr>
            <w:rFonts w:asciiTheme="minorHAnsi" w:eastAsiaTheme="minorEastAsia" w:hAnsiTheme="minorHAnsi" w:cstheme="minorBidi"/>
            <w:noProof/>
            <w:lang w:eastAsia="es-ES"/>
          </w:rPr>
          <w:tab/>
        </w:r>
        <w:r w:rsidR="00D2055F" w:rsidRPr="00947A5F">
          <w:rPr>
            <w:rStyle w:val="Hipervnculo"/>
            <w:rFonts w:cs="Calibri"/>
            <w:b/>
            <w:bCs/>
            <w:noProof/>
          </w:rPr>
          <w:t>Afección grave aos marcos históricos do Monte Foral da Groba.</w:t>
        </w:r>
        <w:r w:rsidR="00D2055F">
          <w:rPr>
            <w:noProof/>
            <w:webHidden/>
          </w:rPr>
          <w:tab/>
        </w:r>
        <w:r w:rsidR="00D2055F">
          <w:rPr>
            <w:noProof/>
            <w:webHidden/>
          </w:rPr>
          <w:fldChar w:fldCharType="begin"/>
        </w:r>
        <w:r w:rsidR="00D2055F">
          <w:rPr>
            <w:noProof/>
            <w:webHidden/>
          </w:rPr>
          <w:instrText xml:space="preserve"> PAGEREF _Toc132511046 \h </w:instrText>
        </w:r>
        <w:r w:rsidR="00D2055F">
          <w:rPr>
            <w:noProof/>
            <w:webHidden/>
          </w:rPr>
        </w:r>
        <w:r w:rsidR="00D2055F">
          <w:rPr>
            <w:noProof/>
            <w:webHidden/>
          </w:rPr>
          <w:fldChar w:fldCharType="separate"/>
        </w:r>
        <w:r w:rsidR="00421DFA">
          <w:rPr>
            <w:noProof/>
            <w:webHidden/>
          </w:rPr>
          <w:t>95</w:t>
        </w:r>
        <w:r w:rsidR="00D2055F">
          <w:rPr>
            <w:noProof/>
            <w:webHidden/>
          </w:rPr>
          <w:fldChar w:fldCharType="end"/>
        </w:r>
      </w:hyperlink>
    </w:p>
    <w:p w14:paraId="63587266" w14:textId="77777777" w:rsidR="00D2055F" w:rsidRDefault="0017543F">
      <w:pPr>
        <w:pStyle w:val="TDC1"/>
        <w:rPr>
          <w:rFonts w:asciiTheme="minorHAnsi" w:eastAsiaTheme="minorEastAsia" w:hAnsiTheme="minorHAnsi" w:cstheme="minorBidi"/>
          <w:noProof/>
          <w:lang w:eastAsia="es-ES"/>
        </w:rPr>
      </w:pPr>
      <w:hyperlink w:anchor="_Toc132511047" w:history="1">
        <w:r w:rsidR="00D2055F" w:rsidRPr="00947A5F">
          <w:rPr>
            <w:rStyle w:val="Hipervnculo"/>
            <w:rFonts w:cs="Calibri"/>
            <w:b/>
            <w:bCs/>
            <w:noProof/>
          </w:rPr>
          <w:t>ALEGACIÓN 57.-</w:t>
        </w:r>
        <w:r w:rsidR="00D2055F">
          <w:rPr>
            <w:rFonts w:asciiTheme="minorHAnsi" w:eastAsiaTheme="minorEastAsia" w:hAnsiTheme="minorHAnsi" w:cstheme="minorBidi"/>
            <w:noProof/>
            <w:lang w:eastAsia="es-ES"/>
          </w:rPr>
          <w:tab/>
        </w:r>
        <w:r w:rsidR="00D2055F" w:rsidRPr="00947A5F">
          <w:rPr>
            <w:rStyle w:val="Hipervnculo"/>
            <w:rFonts w:cs="Calibri"/>
            <w:b/>
            <w:bCs/>
            <w:noProof/>
          </w:rPr>
          <w:t>Afeccións graves as paredes e muros de peche tradicionais.</w:t>
        </w:r>
        <w:r w:rsidR="00D2055F">
          <w:rPr>
            <w:noProof/>
            <w:webHidden/>
          </w:rPr>
          <w:tab/>
        </w:r>
        <w:r w:rsidR="00D2055F">
          <w:rPr>
            <w:noProof/>
            <w:webHidden/>
          </w:rPr>
          <w:fldChar w:fldCharType="begin"/>
        </w:r>
        <w:r w:rsidR="00D2055F">
          <w:rPr>
            <w:noProof/>
            <w:webHidden/>
          </w:rPr>
          <w:instrText xml:space="preserve"> PAGEREF _Toc132511047 \h </w:instrText>
        </w:r>
        <w:r w:rsidR="00D2055F">
          <w:rPr>
            <w:noProof/>
            <w:webHidden/>
          </w:rPr>
        </w:r>
        <w:r w:rsidR="00D2055F">
          <w:rPr>
            <w:noProof/>
            <w:webHidden/>
          </w:rPr>
          <w:fldChar w:fldCharType="separate"/>
        </w:r>
        <w:r w:rsidR="00421DFA">
          <w:rPr>
            <w:noProof/>
            <w:webHidden/>
          </w:rPr>
          <w:t>100</w:t>
        </w:r>
        <w:r w:rsidR="00D2055F">
          <w:rPr>
            <w:noProof/>
            <w:webHidden/>
          </w:rPr>
          <w:fldChar w:fldCharType="end"/>
        </w:r>
      </w:hyperlink>
    </w:p>
    <w:p w14:paraId="5329AE63" w14:textId="77777777" w:rsidR="00D2055F" w:rsidRDefault="0017543F">
      <w:pPr>
        <w:pStyle w:val="TDC1"/>
        <w:rPr>
          <w:rFonts w:asciiTheme="minorHAnsi" w:eastAsiaTheme="minorEastAsia" w:hAnsiTheme="minorHAnsi" w:cstheme="minorBidi"/>
          <w:noProof/>
          <w:lang w:eastAsia="es-ES"/>
        </w:rPr>
      </w:pPr>
      <w:hyperlink w:anchor="_Toc132511048" w:history="1">
        <w:r w:rsidR="00D2055F" w:rsidRPr="00947A5F">
          <w:rPr>
            <w:rStyle w:val="Hipervnculo"/>
            <w:rFonts w:cs="Calibri"/>
            <w:b/>
            <w:bCs/>
            <w:noProof/>
          </w:rPr>
          <w:t>ALEGACIÓN 58.-</w:t>
        </w:r>
        <w:r w:rsidR="00D2055F">
          <w:rPr>
            <w:rFonts w:asciiTheme="minorHAnsi" w:eastAsiaTheme="minorEastAsia" w:hAnsiTheme="minorHAnsi" w:cstheme="minorBidi"/>
            <w:noProof/>
            <w:lang w:eastAsia="es-ES"/>
          </w:rPr>
          <w:tab/>
        </w:r>
        <w:r w:rsidR="00D2055F" w:rsidRPr="00947A5F">
          <w:rPr>
            <w:rStyle w:val="Hipervnculo"/>
            <w:rFonts w:cs="Calibri"/>
            <w:b/>
            <w:bCs/>
            <w:noProof/>
          </w:rPr>
          <w:t>Afección grave a marcos históricos e pedras senlleiras.</w:t>
        </w:r>
        <w:r w:rsidR="00D2055F">
          <w:rPr>
            <w:noProof/>
            <w:webHidden/>
          </w:rPr>
          <w:tab/>
        </w:r>
        <w:r w:rsidR="00D2055F">
          <w:rPr>
            <w:noProof/>
            <w:webHidden/>
          </w:rPr>
          <w:fldChar w:fldCharType="begin"/>
        </w:r>
        <w:r w:rsidR="00D2055F">
          <w:rPr>
            <w:noProof/>
            <w:webHidden/>
          </w:rPr>
          <w:instrText xml:space="preserve"> PAGEREF _Toc132511048 \h </w:instrText>
        </w:r>
        <w:r w:rsidR="00D2055F">
          <w:rPr>
            <w:noProof/>
            <w:webHidden/>
          </w:rPr>
        </w:r>
        <w:r w:rsidR="00D2055F">
          <w:rPr>
            <w:noProof/>
            <w:webHidden/>
          </w:rPr>
          <w:fldChar w:fldCharType="separate"/>
        </w:r>
        <w:r w:rsidR="00421DFA">
          <w:rPr>
            <w:noProof/>
            <w:webHidden/>
          </w:rPr>
          <w:t>102</w:t>
        </w:r>
        <w:r w:rsidR="00D2055F">
          <w:rPr>
            <w:noProof/>
            <w:webHidden/>
          </w:rPr>
          <w:fldChar w:fldCharType="end"/>
        </w:r>
      </w:hyperlink>
    </w:p>
    <w:p w14:paraId="0113E50F" w14:textId="0E235C26" w:rsidR="00D2055F" w:rsidRDefault="0017543F" w:rsidP="00D2055F">
      <w:pPr>
        <w:spacing w:after="160" w:line="256" w:lineRule="auto"/>
        <w:ind w:right="424"/>
        <w:rPr>
          <w:rFonts w:asciiTheme="minorHAnsi" w:eastAsiaTheme="minorEastAsia" w:hAnsiTheme="minorHAnsi" w:cstheme="minorBidi"/>
          <w:noProof/>
          <w:lang w:eastAsia="es-ES"/>
        </w:rPr>
      </w:pPr>
      <w:hyperlink w:anchor="_Toc132511049" w:history="1">
        <w:r w:rsidR="00D2055F" w:rsidRPr="00D2055F">
          <w:rPr>
            <w:rStyle w:val="Hipervnculo"/>
            <w:noProof/>
            <w:sz w:val="24"/>
            <w:szCs w:val="24"/>
          </w:rPr>
          <w:t>ANEXO I</w:t>
        </w:r>
        <w:r w:rsidR="00D2055F" w:rsidRPr="00D2055F">
          <w:rPr>
            <w:noProof/>
            <w:webHidden/>
            <w:sz w:val="24"/>
            <w:szCs w:val="24"/>
          </w:rPr>
          <w:tab/>
        </w:r>
        <w:r w:rsidR="00D2055F" w:rsidRPr="00D2055F">
          <w:rPr>
            <w:rFonts w:cstheme="minorHAnsi"/>
            <w:b/>
            <w:sz w:val="24"/>
            <w:szCs w:val="24"/>
            <w:lang w:val="gl-ES"/>
          </w:rPr>
          <w:t>FICHAS DE PATRIMONIO ARQUEOLÓXICO NON CATALOGADO E/OU AFECTADAS  QUE NON FIGURAN NO EsIA DO P.E. TORROÑA I</w:t>
        </w:r>
        <w:r w:rsidR="00D2055F">
          <w:rPr>
            <w:rFonts w:cstheme="minorHAnsi"/>
            <w:b/>
            <w:sz w:val="24"/>
            <w:szCs w:val="24"/>
            <w:lang w:val="gl-ES"/>
          </w:rPr>
          <w:t xml:space="preserve"> ...........................................</w:t>
        </w:r>
        <w:r w:rsidR="00D2055F">
          <w:rPr>
            <w:noProof/>
            <w:webHidden/>
          </w:rPr>
          <w:fldChar w:fldCharType="begin"/>
        </w:r>
        <w:r w:rsidR="00D2055F">
          <w:rPr>
            <w:noProof/>
            <w:webHidden/>
          </w:rPr>
          <w:instrText xml:space="preserve"> PAGEREF _Toc132511049 \h </w:instrText>
        </w:r>
        <w:r w:rsidR="00D2055F">
          <w:rPr>
            <w:noProof/>
            <w:webHidden/>
          </w:rPr>
        </w:r>
        <w:r w:rsidR="00D2055F">
          <w:rPr>
            <w:noProof/>
            <w:webHidden/>
          </w:rPr>
          <w:fldChar w:fldCharType="separate"/>
        </w:r>
        <w:r w:rsidR="00421DFA">
          <w:rPr>
            <w:noProof/>
            <w:webHidden/>
          </w:rPr>
          <w:t>107</w:t>
        </w:r>
        <w:r w:rsidR="00D2055F">
          <w:rPr>
            <w:noProof/>
            <w:webHidden/>
          </w:rPr>
          <w:fldChar w:fldCharType="end"/>
        </w:r>
      </w:hyperlink>
    </w:p>
    <w:p w14:paraId="49F12A27" w14:textId="77777777" w:rsidR="00FC6876" w:rsidRPr="00AD2DD1" w:rsidRDefault="00D11274" w:rsidP="00FC6876">
      <w:pPr>
        <w:spacing w:after="0" w:line="240" w:lineRule="auto"/>
        <w:jc w:val="both"/>
        <w:rPr>
          <w:sz w:val="24"/>
          <w:szCs w:val="24"/>
        </w:rPr>
      </w:pPr>
      <w:r w:rsidRPr="00331983">
        <w:rPr>
          <w:rFonts w:asciiTheme="minorHAnsi" w:hAnsiTheme="minorHAnsi" w:cstheme="minorHAnsi"/>
          <w:sz w:val="24"/>
          <w:szCs w:val="24"/>
        </w:rPr>
        <w:fldChar w:fldCharType="end"/>
      </w:r>
    </w:p>
    <w:p w14:paraId="650B95D8" w14:textId="0633F269" w:rsidR="00331983" w:rsidRDefault="00331983">
      <w:pPr>
        <w:spacing w:after="0" w:line="240" w:lineRule="auto"/>
        <w:rPr>
          <w:sz w:val="24"/>
          <w:szCs w:val="24"/>
        </w:rPr>
      </w:pPr>
      <w:r>
        <w:rPr>
          <w:sz w:val="24"/>
          <w:szCs w:val="24"/>
        </w:rPr>
        <w:br w:type="page"/>
      </w:r>
    </w:p>
    <w:p w14:paraId="0880684C" w14:textId="77777777" w:rsidR="009B3A3A" w:rsidRDefault="009B3A3A" w:rsidP="004D6CF9">
      <w:pPr>
        <w:pStyle w:val="Ttulo1"/>
        <w:rPr>
          <w:rFonts w:asciiTheme="minorHAnsi" w:hAnsiTheme="minorHAnsi" w:cstheme="minorHAnsi"/>
          <w:bCs w:val="0"/>
          <w:caps/>
          <w:color w:val="000000" w:themeColor="text1"/>
          <w:sz w:val="24"/>
          <w:szCs w:val="24"/>
        </w:rPr>
      </w:pPr>
      <w:bookmarkStart w:id="1" w:name="_Toc132510936"/>
      <w:r w:rsidRPr="004D6CF9">
        <w:rPr>
          <w:rFonts w:asciiTheme="minorHAnsi" w:hAnsiTheme="minorHAnsi" w:cstheme="minorHAnsi"/>
          <w:bCs w:val="0"/>
          <w:caps/>
          <w:color w:val="000000" w:themeColor="text1"/>
          <w:sz w:val="24"/>
          <w:szCs w:val="24"/>
        </w:rPr>
        <w:lastRenderedPageBreak/>
        <w:t>Consideracións previas</w:t>
      </w:r>
      <w:bookmarkEnd w:id="1"/>
    </w:p>
    <w:p w14:paraId="1599F083" w14:textId="77777777" w:rsidR="00B47723" w:rsidRPr="00501ECF" w:rsidRDefault="00B47723" w:rsidP="00B47723">
      <w:pPr>
        <w:autoSpaceDE w:val="0"/>
        <w:autoSpaceDN w:val="0"/>
        <w:adjustRightInd w:val="0"/>
        <w:spacing w:before="120" w:after="0" w:line="240" w:lineRule="auto"/>
        <w:jc w:val="both"/>
        <w:rPr>
          <w:rFonts w:cs="Calibri"/>
          <w:sz w:val="24"/>
          <w:szCs w:val="24"/>
        </w:rPr>
      </w:pPr>
      <w:r w:rsidRPr="00501ECF">
        <w:rPr>
          <w:rFonts w:cs="Calibri"/>
          <w:sz w:val="24"/>
          <w:szCs w:val="24"/>
        </w:rPr>
        <w:t>O Estudo de Impacto Ambiental (EsIA) ten por obxectivo adoptar as decisión máis adecuadas para previr, minimizar e mitigar os efectos de determinados proxectos.</w:t>
      </w:r>
    </w:p>
    <w:p w14:paraId="4DAC9D0B" w14:textId="77777777" w:rsidR="00B47723" w:rsidRDefault="00B47723" w:rsidP="00B47723">
      <w:pPr>
        <w:autoSpaceDE w:val="0"/>
        <w:autoSpaceDN w:val="0"/>
        <w:adjustRightInd w:val="0"/>
        <w:spacing w:before="120" w:after="0" w:line="240" w:lineRule="auto"/>
        <w:jc w:val="both"/>
        <w:rPr>
          <w:rFonts w:cs="Calibri"/>
          <w:sz w:val="24"/>
          <w:szCs w:val="24"/>
        </w:rPr>
      </w:pPr>
      <w:r w:rsidRPr="00501ECF">
        <w:rPr>
          <w:rFonts w:cs="Calibri"/>
          <w:sz w:val="24"/>
          <w:szCs w:val="24"/>
        </w:rPr>
        <w:t>A realización do EsIA debe realizarse tendo en consideración unha serie de pautas que garantan a idoneidade das determinación que conteña. Así, a elaboración do EsIA levarase a cabo seguindo unha serie de fases interdependentes entre sí. Cando menos o EsIA partirá d</w:t>
      </w:r>
      <w:r>
        <w:rPr>
          <w:rFonts w:cs="Calibri"/>
          <w:sz w:val="24"/>
          <w:szCs w:val="24"/>
        </w:rPr>
        <w:t>u</w:t>
      </w:r>
      <w:r w:rsidRPr="00501ECF">
        <w:rPr>
          <w:rFonts w:cs="Calibri"/>
          <w:sz w:val="24"/>
          <w:szCs w:val="24"/>
        </w:rPr>
        <w:t xml:space="preserve">nha </w:t>
      </w:r>
      <w:r w:rsidRPr="00501ECF">
        <w:rPr>
          <w:rFonts w:cs="Calibri"/>
          <w:b/>
          <w:bCs/>
          <w:sz w:val="24"/>
          <w:szCs w:val="24"/>
        </w:rPr>
        <w:t>axeitada diagnose da situación</w:t>
      </w:r>
      <w:r w:rsidRPr="00501ECF">
        <w:rPr>
          <w:rFonts w:cs="Calibri"/>
          <w:sz w:val="24"/>
          <w:szCs w:val="24"/>
        </w:rPr>
        <w:t xml:space="preserve"> previa ó desenvovlemento do proxecto. Esta fase do EsIA condiciona o resto do documento de tal xeito que se debe seguir unha metoloxía de traballo axeitada tanto no que se refire á revisión bibliográfica como no que se refire ós traballos de campo e déberse incluir toda unha serie de indicadores e descriptores que permitan realizar unha axeitada caracterización ambiental. Só a partir dunha correcta diagnose, pódense extraer as oportunas afeccións sobre o medio e deseñar as medidas adecuadas de prevención, corrección e mitigación, así como o establecemento dun adecuado plan se seguemento ambiental das actuacións realizadas.</w:t>
      </w:r>
    </w:p>
    <w:p w14:paraId="72118576" w14:textId="77777777" w:rsidR="00B47723" w:rsidRPr="001B25E6" w:rsidRDefault="00B47723" w:rsidP="00B47723">
      <w:pPr>
        <w:autoSpaceDE w:val="0"/>
        <w:autoSpaceDN w:val="0"/>
        <w:adjustRightInd w:val="0"/>
        <w:spacing w:before="120" w:after="0" w:line="240" w:lineRule="auto"/>
        <w:jc w:val="both"/>
        <w:rPr>
          <w:rFonts w:cs="Calibri"/>
          <w:sz w:val="24"/>
          <w:szCs w:val="24"/>
        </w:rPr>
      </w:pPr>
      <w:r>
        <w:rPr>
          <w:rFonts w:cs="Calibri"/>
          <w:sz w:val="24"/>
          <w:szCs w:val="24"/>
        </w:rPr>
        <w:t xml:space="preserve">No EsIA debe terse en consideración unha avaliación dos efectos sobre os </w:t>
      </w:r>
      <w:r w:rsidRPr="001B25E6">
        <w:rPr>
          <w:rFonts w:cs="Calibri"/>
          <w:b/>
          <w:sz w:val="24"/>
          <w:szCs w:val="24"/>
        </w:rPr>
        <w:t>Servizos Ecosistémicos</w:t>
      </w:r>
      <w:r>
        <w:rPr>
          <w:rFonts w:cs="Calibri"/>
          <w:sz w:val="24"/>
          <w:szCs w:val="24"/>
        </w:rPr>
        <w:t xml:space="preserve"> (SE). A</w:t>
      </w:r>
      <w:r w:rsidRPr="00F90287">
        <w:rPr>
          <w:rFonts w:cs="Calibri"/>
          <w:sz w:val="24"/>
          <w:szCs w:val="24"/>
        </w:rPr>
        <w:t xml:space="preserve"> </w:t>
      </w:r>
      <w:r>
        <w:rPr>
          <w:rFonts w:cs="Calibri"/>
          <w:sz w:val="24"/>
          <w:szCs w:val="24"/>
        </w:rPr>
        <w:t>avaliación</w:t>
      </w:r>
      <w:r w:rsidRPr="00F90287">
        <w:rPr>
          <w:rFonts w:cs="Calibri"/>
          <w:sz w:val="24"/>
          <w:szCs w:val="24"/>
        </w:rPr>
        <w:t xml:space="preserve"> de políticas públicas orientadas </w:t>
      </w:r>
      <w:r>
        <w:rPr>
          <w:rFonts w:cs="Calibri"/>
          <w:sz w:val="24"/>
          <w:szCs w:val="24"/>
        </w:rPr>
        <w:t>ó</w:t>
      </w:r>
      <w:r w:rsidRPr="00F90287">
        <w:rPr>
          <w:rFonts w:cs="Calibri"/>
          <w:sz w:val="24"/>
          <w:szCs w:val="24"/>
        </w:rPr>
        <w:t xml:space="preserve"> </w:t>
      </w:r>
      <w:r>
        <w:rPr>
          <w:rFonts w:cs="Calibri"/>
          <w:sz w:val="24"/>
          <w:szCs w:val="24"/>
        </w:rPr>
        <w:t>desenvolvemento</w:t>
      </w:r>
      <w:r w:rsidRPr="00F90287">
        <w:rPr>
          <w:rFonts w:cs="Calibri"/>
          <w:sz w:val="24"/>
          <w:szCs w:val="24"/>
        </w:rPr>
        <w:t xml:space="preserve"> sustentable </w:t>
      </w:r>
      <w:r>
        <w:rPr>
          <w:rFonts w:cs="Calibri"/>
          <w:sz w:val="24"/>
          <w:szCs w:val="24"/>
        </w:rPr>
        <w:t>do territorio rural pode resultar facilitada pola consideración da provisión sostida de servizos ecosistémicos como principio integrador d</w:t>
      </w:r>
      <w:r w:rsidRPr="00F90287">
        <w:rPr>
          <w:rFonts w:cs="Calibri"/>
          <w:sz w:val="24"/>
          <w:szCs w:val="24"/>
        </w:rPr>
        <w:t>os múltiples beneficios que</w:t>
      </w:r>
      <w:r>
        <w:rPr>
          <w:rFonts w:cs="Calibri"/>
          <w:sz w:val="24"/>
          <w:szCs w:val="24"/>
        </w:rPr>
        <w:t xml:space="preserve"> ofrecen os ecosistemas á</w:t>
      </w:r>
      <w:r w:rsidRPr="00F90287">
        <w:rPr>
          <w:rFonts w:cs="Calibri"/>
          <w:sz w:val="24"/>
          <w:szCs w:val="24"/>
        </w:rPr>
        <w:t xml:space="preserve"> sociedad</w:t>
      </w:r>
      <w:r>
        <w:rPr>
          <w:rFonts w:cs="Calibri"/>
          <w:sz w:val="24"/>
          <w:szCs w:val="24"/>
        </w:rPr>
        <w:t>e</w:t>
      </w:r>
      <w:r w:rsidRPr="00F90287">
        <w:rPr>
          <w:rFonts w:cs="Calibri"/>
          <w:sz w:val="24"/>
          <w:szCs w:val="24"/>
        </w:rPr>
        <w:t xml:space="preserve">. </w:t>
      </w:r>
      <w:r>
        <w:rPr>
          <w:rFonts w:cs="Calibri"/>
          <w:sz w:val="24"/>
          <w:szCs w:val="24"/>
        </w:rPr>
        <w:t xml:space="preserve">Porén, a aplicación do </w:t>
      </w:r>
      <w:r w:rsidRPr="00F90287">
        <w:rPr>
          <w:rFonts w:cs="Calibri"/>
          <w:sz w:val="24"/>
          <w:szCs w:val="24"/>
        </w:rPr>
        <w:t>con</w:t>
      </w:r>
      <w:r>
        <w:rPr>
          <w:rFonts w:cs="Calibri"/>
          <w:sz w:val="24"/>
          <w:szCs w:val="24"/>
        </w:rPr>
        <w:t>cepto de SE como criterio para a toma de decisión</w:t>
      </w:r>
      <w:r w:rsidRPr="00F90287">
        <w:rPr>
          <w:rFonts w:cs="Calibri"/>
          <w:sz w:val="24"/>
          <w:szCs w:val="24"/>
        </w:rPr>
        <w:t xml:space="preserve">s </w:t>
      </w:r>
      <w:r>
        <w:rPr>
          <w:rFonts w:cs="Calibri"/>
          <w:sz w:val="24"/>
          <w:szCs w:val="24"/>
        </w:rPr>
        <w:t>atópase, po</w:t>
      </w:r>
      <w:r w:rsidRPr="00F90287">
        <w:rPr>
          <w:rFonts w:cs="Calibri"/>
          <w:sz w:val="24"/>
          <w:szCs w:val="24"/>
        </w:rPr>
        <w:t xml:space="preserve">lo </w:t>
      </w:r>
      <w:r>
        <w:rPr>
          <w:rFonts w:cs="Calibri"/>
          <w:sz w:val="24"/>
          <w:szCs w:val="24"/>
        </w:rPr>
        <w:t>xeral</w:t>
      </w:r>
      <w:r w:rsidRPr="00F90287">
        <w:rPr>
          <w:rFonts w:cs="Calibri"/>
          <w:sz w:val="24"/>
          <w:szCs w:val="24"/>
        </w:rPr>
        <w:t xml:space="preserve">, </w:t>
      </w:r>
      <w:r>
        <w:rPr>
          <w:rFonts w:cs="Calibri"/>
          <w:sz w:val="24"/>
          <w:szCs w:val="24"/>
        </w:rPr>
        <w:t>suxeita a limitacións metodolóx</w:t>
      </w:r>
      <w:r w:rsidRPr="00F90287">
        <w:rPr>
          <w:rFonts w:cs="Calibri"/>
          <w:sz w:val="24"/>
          <w:szCs w:val="24"/>
        </w:rPr>
        <w:t xml:space="preserve">icas </w:t>
      </w:r>
      <w:r>
        <w:rPr>
          <w:rFonts w:cs="Calibri"/>
          <w:sz w:val="24"/>
          <w:szCs w:val="24"/>
        </w:rPr>
        <w:t>e</w:t>
      </w:r>
      <w:r w:rsidRPr="00F90287">
        <w:rPr>
          <w:rFonts w:cs="Calibri"/>
          <w:sz w:val="24"/>
          <w:szCs w:val="24"/>
        </w:rPr>
        <w:t xml:space="preserve"> de dispo</w:t>
      </w:r>
      <w:r>
        <w:rPr>
          <w:rFonts w:cs="Calibri"/>
          <w:sz w:val="24"/>
          <w:szCs w:val="24"/>
        </w:rPr>
        <w:t>ñ</w:t>
      </w:r>
      <w:r w:rsidRPr="00F90287">
        <w:rPr>
          <w:rFonts w:cs="Calibri"/>
          <w:sz w:val="24"/>
          <w:szCs w:val="24"/>
        </w:rPr>
        <w:t>ibilidad</w:t>
      </w:r>
      <w:r>
        <w:rPr>
          <w:rFonts w:cs="Calibri"/>
          <w:sz w:val="24"/>
          <w:szCs w:val="24"/>
        </w:rPr>
        <w:t>e</w:t>
      </w:r>
      <w:r w:rsidRPr="00F90287">
        <w:rPr>
          <w:rFonts w:cs="Calibri"/>
          <w:sz w:val="24"/>
          <w:szCs w:val="24"/>
        </w:rPr>
        <w:t xml:space="preserve"> de información, en ambos</w:t>
      </w:r>
      <w:r>
        <w:rPr>
          <w:rFonts w:cs="Calibri"/>
          <w:sz w:val="24"/>
          <w:szCs w:val="24"/>
        </w:rPr>
        <w:t xml:space="preserve"> casos necesarias para valorar </w:t>
      </w:r>
      <w:r w:rsidRPr="00F90287">
        <w:rPr>
          <w:rFonts w:cs="Calibri"/>
          <w:sz w:val="24"/>
          <w:szCs w:val="24"/>
        </w:rPr>
        <w:t xml:space="preserve">os ecosistemas según </w:t>
      </w:r>
      <w:r>
        <w:rPr>
          <w:rFonts w:cs="Calibri"/>
          <w:sz w:val="24"/>
          <w:szCs w:val="24"/>
        </w:rPr>
        <w:t>a súa</w:t>
      </w:r>
      <w:r w:rsidRPr="00F90287">
        <w:rPr>
          <w:rFonts w:cs="Calibri"/>
          <w:sz w:val="24"/>
          <w:szCs w:val="24"/>
        </w:rPr>
        <w:t xml:space="preserve"> capacidad</w:t>
      </w:r>
      <w:r>
        <w:rPr>
          <w:rFonts w:cs="Calibri"/>
          <w:sz w:val="24"/>
          <w:szCs w:val="24"/>
        </w:rPr>
        <w:t>e para proveer eses serviz</w:t>
      </w:r>
      <w:r w:rsidRPr="00F90287">
        <w:rPr>
          <w:rFonts w:cs="Calibri"/>
          <w:sz w:val="24"/>
          <w:szCs w:val="24"/>
        </w:rPr>
        <w:t>os.</w:t>
      </w:r>
      <w:r>
        <w:rPr>
          <w:rFonts w:cs="Calibri"/>
          <w:sz w:val="24"/>
          <w:szCs w:val="24"/>
        </w:rPr>
        <w:t xml:space="preserve"> A</w:t>
      </w:r>
      <w:r w:rsidRPr="001B25E6">
        <w:rPr>
          <w:rFonts w:cs="Calibri"/>
          <w:sz w:val="24"/>
          <w:szCs w:val="24"/>
        </w:rPr>
        <w:t xml:space="preserve"> capacidad</w:t>
      </w:r>
      <w:r>
        <w:rPr>
          <w:rFonts w:cs="Calibri"/>
          <w:sz w:val="24"/>
          <w:szCs w:val="24"/>
        </w:rPr>
        <w:t>e intrínseca d</w:t>
      </w:r>
      <w:r w:rsidRPr="001B25E6">
        <w:rPr>
          <w:rFonts w:cs="Calibri"/>
          <w:sz w:val="24"/>
          <w:szCs w:val="24"/>
        </w:rPr>
        <w:t>u</w:t>
      </w:r>
      <w:r>
        <w:rPr>
          <w:rFonts w:cs="Calibri"/>
          <w:sz w:val="24"/>
          <w:szCs w:val="24"/>
        </w:rPr>
        <w:t>n ecosistema para proveer SE po</w:t>
      </w:r>
      <w:r w:rsidRPr="001B25E6">
        <w:rPr>
          <w:rFonts w:cs="Calibri"/>
          <w:sz w:val="24"/>
          <w:szCs w:val="24"/>
        </w:rPr>
        <w:t xml:space="preserve">de ser </w:t>
      </w:r>
      <w:r>
        <w:rPr>
          <w:rFonts w:cs="Calibri"/>
          <w:sz w:val="24"/>
          <w:szCs w:val="24"/>
        </w:rPr>
        <w:t>avaliada a través do</w:t>
      </w:r>
      <w:r w:rsidRPr="001B25E6">
        <w:rPr>
          <w:rFonts w:cs="Calibri"/>
          <w:sz w:val="24"/>
          <w:szCs w:val="24"/>
        </w:rPr>
        <w:t xml:space="preserve"> </w:t>
      </w:r>
      <w:r>
        <w:rPr>
          <w:rFonts w:cs="Calibri"/>
          <w:sz w:val="24"/>
          <w:szCs w:val="24"/>
        </w:rPr>
        <w:t xml:space="preserve">recoñecemento, </w:t>
      </w:r>
      <w:r w:rsidRPr="001B25E6">
        <w:rPr>
          <w:rFonts w:cs="Calibri"/>
          <w:sz w:val="24"/>
          <w:szCs w:val="24"/>
        </w:rPr>
        <w:t xml:space="preserve">a cuantificación </w:t>
      </w:r>
      <w:r>
        <w:rPr>
          <w:rFonts w:cs="Calibri"/>
          <w:sz w:val="24"/>
          <w:szCs w:val="24"/>
        </w:rPr>
        <w:t>e a integración do conx</w:t>
      </w:r>
      <w:r w:rsidRPr="001B25E6">
        <w:rPr>
          <w:rFonts w:cs="Calibri"/>
          <w:sz w:val="24"/>
          <w:szCs w:val="24"/>
        </w:rPr>
        <w:t>u</w:t>
      </w:r>
      <w:r>
        <w:rPr>
          <w:rFonts w:cs="Calibri"/>
          <w:sz w:val="24"/>
          <w:szCs w:val="24"/>
        </w:rPr>
        <w:t xml:space="preserve">nto de procesos biofísicos que </w:t>
      </w:r>
      <w:r w:rsidRPr="001B25E6">
        <w:rPr>
          <w:rFonts w:cs="Calibri"/>
          <w:sz w:val="24"/>
          <w:szCs w:val="24"/>
        </w:rPr>
        <w:t>o sopo</w:t>
      </w:r>
      <w:r>
        <w:rPr>
          <w:rFonts w:cs="Calibri"/>
          <w:sz w:val="24"/>
          <w:szCs w:val="24"/>
        </w:rPr>
        <w:t>rtan, en forma independente da percepción d</w:t>
      </w:r>
      <w:r w:rsidRPr="001B25E6">
        <w:rPr>
          <w:rFonts w:cs="Calibri"/>
          <w:sz w:val="24"/>
          <w:szCs w:val="24"/>
        </w:rPr>
        <w:t>a sociedad</w:t>
      </w:r>
      <w:r>
        <w:rPr>
          <w:rFonts w:cs="Calibri"/>
          <w:sz w:val="24"/>
          <w:szCs w:val="24"/>
        </w:rPr>
        <w:t>e</w:t>
      </w:r>
      <w:r w:rsidRPr="001B25E6">
        <w:rPr>
          <w:rFonts w:cs="Calibri"/>
          <w:sz w:val="24"/>
          <w:szCs w:val="24"/>
        </w:rPr>
        <w:t xml:space="preserve"> sobre </w:t>
      </w:r>
      <w:r>
        <w:rPr>
          <w:rFonts w:cs="Calibri"/>
          <w:sz w:val="24"/>
          <w:szCs w:val="24"/>
        </w:rPr>
        <w:t>a súa</w:t>
      </w:r>
      <w:r w:rsidRPr="001B25E6">
        <w:rPr>
          <w:rFonts w:cs="Calibri"/>
          <w:sz w:val="24"/>
          <w:szCs w:val="24"/>
        </w:rPr>
        <w:t xml:space="preserve"> importancia relativa.</w:t>
      </w:r>
    </w:p>
    <w:p w14:paraId="2539F13C" w14:textId="77777777" w:rsidR="00B47723" w:rsidRDefault="00B47723" w:rsidP="00B47723">
      <w:pPr>
        <w:autoSpaceDE w:val="0"/>
        <w:autoSpaceDN w:val="0"/>
        <w:adjustRightInd w:val="0"/>
        <w:spacing w:before="120" w:after="0" w:line="240" w:lineRule="auto"/>
        <w:jc w:val="both"/>
        <w:rPr>
          <w:rFonts w:cs="Calibri"/>
          <w:sz w:val="24"/>
          <w:szCs w:val="24"/>
        </w:rPr>
      </w:pPr>
      <w:r w:rsidRPr="00501ECF">
        <w:rPr>
          <w:rFonts w:cs="Calibri"/>
          <w:sz w:val="24"/>
          <w:szCs w:val="24"/>
        </w:rPr>
        <w:t xml:space="preserve">O presente EsIA do Parque Eólico (PE) </w:t>
      </w:r>
      <w:r>
        <w:rPr>
          <w:rFonts w:cs="Calibri"/>
          <w:sz w:val="24"/>
          <w:szCs w:val="24"/>
        </w:rPr>
        <w:t xml:space="preserve">Torroña I </w:t>
      </w:r>
      <w:r w:rsidRPr="00501ECF">
        <w:rPr>
          <w:rFonts w:cs="Calibri"/>
          <w:sz w:val="24"/>
          <w:szCs w:val="24"/>
        </w:rPr>
        <w:t xml:space="preserve">adoece dunha </w:t>
      </w:r>
      <w:r w:rsidRPr="00501ECF">
        <w:rPr>
          <w:rFonts w:cs="Calibri"/>
          <w:b/>
          <w:bCs/>
          <w:sz w:val="24"/>
          <w:szCs w:val="24"/>
        </w:rPr>
        <w:t>MOI DEFICIENTE</w:t>
      </w:r>
      <w:r w:rsidRPr="00501ECF">
        <w:rPr>
          <w:rFonts w:cs="Calibri"/>
          <w:sz w:val="24"/>
          <w:szCs w:val="24"/>
        </w:rPr>
        <w:t xml:space="preserve"> diagnose froito dunha inadecuada metodoloxía </w:t>
      </w:r>
      <w:r>
        <w:rPr>
          <w:rFonts w:cs="Calibri"/>
          <w:sz w:val="24"/>
          <w:szCs w:val="24"/>
        </w:rPr>
        <w:t>de estudo,</w:t>
      </w:r>
      <w:r w:rsidRPr="00501ECF">
        <w:rPr>
          <w:rFonts w:cs="Calibri"/>
          <w:sz w:val="24"/>
          <w:szCs w:val="24"/>
        </w:rPr>
        <w:t xml:space="preserve"> dun deficiente  uso de indicadores e descriptores</w:t>
      </w:r>
      <w:r>
        <w:rPr>
          <w:rFonts w:cs="Calibri"/>
          <w:sz w:val="24"/>
          <w:szCs w:val="24"/>
        </w:rPr>
        <w:t xml:space="preserve">. Amais disto, o EsIA non fai unha axeitada avaliación dos SE que resultan fundamentais para a poboación e para a sostibilidade do territorio. </w:t>
      </w:r>
      <w:r w:rsidRPr="00501ECF">
        <w:rPr>
          <w:rFonts w:cs="Calibri"/>
          <w:sz w:val="24"/>
          <w:szCs w:val="24"/>
        </w:rPr>
        <w:t xml:space="preserve">Por esta razón, </w:t>
      </w:r>
      <w:r>
        <w:rPr>
          <w:rFonts w:cs="Calibri"/>
          <w:sz w:val="24"/>
          <w:szCs w:val="24"/>
        </w:rPr>
        <w:t>as determinacións</w:t>
      </w:r>
      <w:r w:rsidRPr="00501ECF">
        <w:rPr>
          <w:rFonts w:cs="Calibri"/>
          <w:sz w:val="24"/>
          <w:szCs w:val="24"/>
        </w:rPr>
        <w:t xml:space="preserve"> do EsIA tales como a identificación e valoración dos efectos, o establecemento das medidas de prevención, corrección e mitigación e o plan de seguemento ambiental son erróneas e carecen de rigor científico polo que debe o EsIA debe ser revisado e reelaborado.</w:t>
      </w:r>
    </w:p>
    <w:p w14:paraId="6AC76AB7" w14:textId="5E56A89B" w:rsidR="00445147" w:rsidRDefault="00445147">
      <w:pPr>
        <w:spacing w:after="0" w:line="240" w:lineRule="auto"/>
        <w:rPr>
          <w:rFonts w:cs="Calibri"/>
          <w:sz w:val="24"/>
          <w:szCs w:val="24"/>
        </w:rPr>
      </w:pPr>
      <w:r>
        <w:rPr>
          <w:rFonts w:cs="Calibri"/>
          <w:sz w:val="24"/>
          <w:szCs w:val="24"/>
        </w:rPr>
        <w:br w:type="page"/>
      </w:r>
    </w:p>
    <w:p w14:paraId="08A1BA1B" w14:textId="5CC4E9D6" w:rsidR="00E44D1B" w:rsidRPr="004022F0" w:rsidRDefault="00E44D1B" w:rsidP="00E44D1B">
      <w:pPr>
        <w:pStyle w:val="Default"/>
        <w:numPr>
          <w:ilvl w:val="0"/>
          <w:numId w:val="11"/>
        </w:numPr>
        <w:shd w:val="clear" w:color="auto" w:fill="C6D9F1"/>
        <w:ind w:left="1701" w:hanging="1701"/>
        <w:jc w:val="both"/>
        <w:outlineLvl w:val="0"/>
        <w:rPr>
          <w:rFonts w:ascii="Calibri" w:hAnsi="Calibri" w:cs="Calibri"/>
          <w:b/>
          <w:bCs/>
        </w:rPr>
      </w:pPr>
      <w:bookmarkStart w:id="2" w:name="_Toc132510937"/>
      <w:r>
        <w:rPr>
          <w:rFonts w:ascii="Calibri" w:hAnsi="Calibri" w:cs="Calibri"/>
          <w:b/>
          <w:bCs/>
        </w:rPr>
        <w:lastRenderedPageBreak/>
        <w:t xml:space="preserve">O EsIA non pode consultarse co </w:t>
      </w:r>
      <w:r w:rsidR="0085495F">
        <w:rPr>
          <w:rFonts w:ascii="Calibri" w:hAnsi="Calibri" w:cs="Calibri"/>
          <w:b/>
          <w:bCs/>
        </w:rPr>
        <w:t xml:space="preserve">software </w:t>
      </w:r>
      <w:r>
        <w:rPr>
          <w:rFonts w:ascii="Calibri" w:hAnsi="Calibri" w:cs="Calibri"/>
          <w:b/>
          <w:bCs/>
        </w:rPr>
        <w:t xml:space="preserve">Adobe Acrobat sen a instalación dun plug in obsoleto (Flash Player) e retirado por ser fonte de </w:t>
      </w:r>
      <w:r w:rsidR="0085495F">
        <w:rPr>
          <w:rFonts w:ascii="Calibri" w:hAnsi="Calibri" w:cs="Calibri"/>
          <w:b/>
          <w:bCs/>
        </w:rPr>
        <w:t>virus e malware</w:t>
      </w:r>
      <w:r>
        <w:rPr>
          <w:rFonts w:ascii="Calibri" w:hAnsi="Calibri" w:cs="Calibri"/>
          <w:b/>
          <w:bCs/>
        </w:rPr>
        <w:t>.</w:t>
      </w:r>
      <w:bookmarkEnd w:id="2"/>
    </w:p>
    <w:p w14:paraId="64721BCF" w14:textId="77777777" w:rsidR="00E44D1B" w:rsidRDefault="00E44D1B">
      <w:pPr>
        <w:spacing w:after="0" w:line="240" w:lineRule="auto"/>
        <w:rPr>
          <w:rFonts w:cs="Calibri"/>
          <w:sz w:val="24"/>
          <w:szCs w:val="24"/>
        </w:rPr>
      </w:pPr>
    </w:p>
    <w:p w14:paraId="7E9A7CDC" w14:textId="3477A479" w:rsidR="00E44D1B" w:rsidRDefault="00E44D1B">
      <w:pPr>
        <w:spacing w:after="0" w:line="240" w:lineRule="auto"/>
        <w:rPr>
          <w:rFonts w:cs="Calibri"/>
          <w:sz w:val="24"/>
          <w:szCs w:val="24"/>
        </w:rPr>
      </w:pPr>
      <w:r>
        <w:rPr>
          <w:rFonts w:cs="Calibri"/>
          <w:sz w:val="24"/>
          <w:szCs w:val="24"/>
        </w:rPr>
        <w:t>Cando se intenta abrir o EsI</w:t>
      </w:r>
      <w:r w:rsidR="0085495F">
        <w:rPr>
          <w:rFonts w:cs="Calibri"/>
          <w:sz w:val="24"/>
          <w:szCs w:val="24"/>
        </w:rPr>
        <w:t>A</w:t>
      </w:r>
      <w:r>
        <w:rPr>
          <w:rFonts w:cs="Calibri"/>
          <w:sz w:val="24"/>
          <w:szCs w:val="24"/>
        </w:rPr>
        <w:t xml:space="preserve"> aparece unha pantalla como ésta:</w:t>
      </w:r>
    </w:p>
    <w:p w14:paraId="1C660687" w14:textId="26D636C8" w:rsidR="00E44D1B" w:rsidRDefault="00E44D1B">
      <w:pPr>
        <w:spacing w:after="0" w:line="240" w:lineRule="auto"/>
        <w:rPr>
          <w:rFonts w:cs="Calibri"/>
          <w:sz w:val="24"/>
          <w:szCs w:val="24"/>
        </w:rPr>
      </w:pPr>
      <w:r>
        <w:rPr>
          <w:rFonts w:cs="Calibri"/>
          <w:noProof/>
          <w:sz w:val="24"/>
          <w:szCs w:val="24"/>
          <w:lang w:eastAsia="es-ES"/>
        </w:rPr>
        <w:drawing>
          <wp:inline distT="0" distB="0" distL="0" distR="0" wp14:anchorId="08D44FF0" wp14:editId="4A11C598">
            <wp:extent cx="5759450" cy="1501140"/>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759450" cy="1501140"/>
                    </a:xfrm>
                    <a:prstGeom prst="rect">
                      <a:avLst/>
                    </a:prstGeom>
                    <a:noFill/>
                    <a:ln>
                      <a:noFill/>
                    </a:ln>
                  </pic:spPr>
                </pic:pic>
              </a:graphicData>
            </a:graphic>
          </wp:inline>
        </w:drawing>
      </w:r>
    </w:p>
    <w:p w14:paraId="33A88155" w14:textId="77777777" w:rsidR="00E44D1B" w:rsidRDefault="00E44D1B">
      <w:pPr>
        <w:spacing w:after="0" w:line="240" w:lineRule="auto"/>
        <w:rPr>
          <w:rFonts w:cs="Calibri"/>
          <w:sz w:val="24"/>
          <w:szCs w:val="24"/>
        </w:rPr>
      </w:pPr>
    </w:p>
    <w:p w14:paraId="030052FA" w14:textId="7B7FE852" w:rsidR="00E44D1B" w:rsidRDefault="00E44D1B">
      <w:pPr>
        <w:spacing w:after="0" w:line="240" w:lineRule="auto"/>
        <w:rPr>
          <w:rFonts w:cs="Calibri"/>
          <w:sz w:val="24"/>
          <w:szCs w:val="24"/>
        </w:rPr>
      </w:pPr>
      <w:r>
        <w:rPr>
          <w:rFonts w:cs="Calibri"/>
          <w:sz w:val="24"/>
          <w:szCs w:val="24"/>
        </w:rPr>
        <w:t xml:space="preserve">Pulsando en </w:t>
      </w:r>
      <w:r w:rsidRPr="00E44D1B">
        <w:rPr>
          <w:rFonts w:cs="Calibri"/>
          <w:i/>
          <w:sz w:val="24"/>
          <w:szCs w:val="24"/>
        </w:rPr>
        <w:t>“Ir a la página de descarga”</w:t>
      </w:r>
      <w:r>
        <w:rPr>
          <w:rFonts w:cs="Calibri"/>
          <w:sz w:val="24"/>
          <w:szCs w:val="24"/>
        </w:rPr>
        <w:t xml:space="preserve"> vamos a:</w:t>
      </w:r>
    </w:p>
    <w:p w14:paraId="0E782ECF" w14:textId="77777777" w:rsidR="00E44D1B" w:rsidRDefault="00E44D1B">
      <w:pPr>
        <w:spacing w:after="0" w:line="240" w:lineRule="auto"/>
        <w:rPr>
          <w:rFonts w:cs="Calibri"/>
          <w:sz w:val="24"/>
          <w:szCs w:val="24"/>
        </w:rPr>
      </w:pPr>
    </w:p>
    <w:p w14:paraId="75009E0D" w14:textId="0CCF7996" w:rsidR="00E44D1B" w:rsidRPr="00E44D1B" w:rsidRDefault="00E44D1B">
      <w:pPr>
        <w:spacing w:after="0" w:line="240" w:lineRule="auto"/>
        <w:rPr>
          <w:rFonts w:cs="Calibri"/>
          <w:sz w:val="24"/>
          <w:szCs w:val="24"/>
        </w:rPr>
      </w:pPr>
      <w:r>
        <w:rPr>
          <w:rFonts w:cs="Calibri"/>
          <w:noProof/>
          <w:sz w:val="24"/>
          <w:szCs w:val="24"/>
          <w:lang w:eastAsia="es-ES"/>
        </w:rPr>
        <w:drawing>
          <wp:inline distT="0" distB="0" distL="0" distR="0" wp14:anchorId="50C9B32A" wp14:editId="0FE63016">
            <wp:extent cx="5759450" cy="513143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5759450" cy="5131435"/>
                    </a:xfrm>
                    <a:prstGeom prst="rect">
                      <a:avLst/>
                    </a:prstGeom>
                    <a:noFill/>
                    <a:ln>
                      <a:noFill/>
                    </a:ln>
                  </pic:spPr>
                </pic:pic>
              </a:graphicData>
            </a:graphic>
          </wp:inline>
        </w:drawing>
      </w:r>
    </w:p>
    <w:p w14:paraId="07B4ED80" w14:textId="77777777" w:rsidR="00E44D1B" w:rsidRDefault="00E44D1B">
      <w:pPr>
        <w:spacing w:after="0" w:line="240" w:lineRule="auto"/>
        <w:rPr>
          <w:rFonts w:cs="Calibri"/>
          <w:sz w:val="24"/>
          <w:szCs w:val="24"/>
        </w:rPr>
      </w:pPr>
    </w:p>
    <w:p w14:paraId="62767451" w14:textId="611313CD" w:rsidR="00E44D1B" w:rsidRDefault="00E44D1B">
      <w:pPr>
        <w:spacing w:after="0" w:line="240" w:lineRule="auto"/>
        <w:rPr>
          <w:rFonts w:cs="Calibri"/>
          <w:sz w:val="24"/>
          <w:szCs w:val="24"/>
        </w:rPr>
      </w:pPr>
      <w:r>
        <w:rPr>
          <w:rFonts w:cs="Calibri"/>
          <w:sz w:val="24"/>
          <w:szCs w:val="24"/>
        </w:rPr>
        <w:t xml:space="preserve">E seguindo éste último link: </w:t>
      </w:r>
    </w:p>
    <w:p w14:paraId="31C80275" w14:textId="7C5A0804" w:rsidR="00E44D1B" w:rsidRDefault="00E44D1B">
      <w:pPr>
        <w:spacing w:after="0" w:line="240" w:lineRule="auto"/>
        <w:rPr>
          <w:rFonts w:cs="Calibri"/>
          <w:sz w:val="24"/>
          <w:szCs w:val="24"/>
        </w:rPr>
      </w:pPr>
      <w:r>
        <w:rPr>
          <w:rFonts w:cs="Calibri"/>
          <w:noProof/>
          <w:sz w:val="24"/>
          <w:szCs w:val="24"/>
          <w:lang w:eastAsia="es-ES"/>
        </w:rPr>
        <w:lastRenderedPageBreak/>
        <w:drawing>
          <wp:inline distT="0" distB="0" distL="0" distR="0" wp14:anchorId="072E5D74" wp14:editId="42DEE73E">
            <wp:extent cx="5752465" cy="2988945"/>
            <wp:effectExtent l="0" t="0" r="635"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5752465" cy="2988945"/>
                    </a:xfrm>
                    <a:prstGeom prst="rect">
                      <a:avLst/>
                    </a:prstGeom>
                    <a:noFill/>
                    <a:ln>
                      <a:noFill/>
                    </a:ln>
                  </pic:spPr>
                </pic:pic>
              </a:graphicData>
            </a:graphic>
          </wp:inline>
        </w:drawing>
      </w:r>
    </w:p>
    <w:p w14:paraId="24F28122" w14:textId="6CED8035" w:rsidR="00E44D1B" w:rsidRDefault="00E44D1B" w:rsidP="00221E3B">
      <w:pPr>
        <w:spacing w:after="0" w:line="240" w:lineRule="auto"/>
        <w:jc w:val="both"/>
        <w:rPr>
          <w:rFonts w:cs="Calibri"/>
          <w:sz w:val="24"/>
          <w:szCs w:val="24"/>
        </w:rPr>
      </w:pPr>
      <w:r>
        <w:rPr>
          <w:rFonts w:cs="Calibri"/>
          <w:sz w:val="24"/>
          <w:szCs w:val="24"/>
        </w:rPr>
        <w:t>Efectivamente o plugin Flash Player foi retirado en decembro de 2020 xa que daba moitos problemas informáticos en forma de entrada de virus</w:t>
      </w:r>
      <w:r w:rsidR="001A644A">
        <w:rPr>
          <w:rFonts w:cs="Calibri"/>
          <w:sz w:val="24"/>
          <w:szCs w:val="24"/>
        </w:rPr>
        <w:t>, spyware, minar</w:t>
      </w:r>
      <w:r w:rsidR="0085495F">
        <w:rPr>
          <w:rFonts w:cs="Calibri"/>
          <w:sz w:val="24"/>
          <w:szCs w:val="24"/>
        </w:rPr>
        <w:t>ía de</w:t>
      </w:r>
      <w:r w:rsidR="001A644A">
        <w:rPr>
          <w:rFonts w:cs="Calibri"/>
          <w:sz w:val="24"/>
          <w:szCs w:val="24"/>
        </w:rPr>
        <w:t xml:space="preserve"> criptomonedas</w:t>
      </w:r>
      <w:r>
        <w:rPr>
          <w:rFonts w:cs="Calibri"/>
          <w:sz w:val="24"/>
          <w:szCs w:val="24"/>
        </w:rPr>
        <w:t xml:space="preserve"> e malware en xeral.</w:t>
      </w:r>
    </w:p>
    <w:p w14:paraId="09D78990" w14:textId="77777777" w:rsidR="001A644A" w:rsidRDefault="001A644A" w:rsidP="00221E3B">
      <w:pPr>
        <w:spacing w:after="0" w:line="240" w:lineRule="auto"/>
        <w:jc w:val="both"/>
        <w:rPr>
          <w:rFonts w:cs="Calibri"/>
          <w:sz w:val="24"/>
          <w:szCs w:val="24"/>
        </w:rPr>
      </w:pPr>
    </w:p>
    <w:p w14:paraId="1C6C0B5F" w14:textId="3CEC3DD4" w:rsidR="001A644A" w:rsidRDefault="001A644A" w:rsidP="00221E3B">
      <w:pPr>
        <w:spacing w:after="0" w:line="240" w:lineRule="auto"/>
        <w:jc w:val="both"/>
        <w:rPr>
          <w:rFonts w:cs="Calibri"/>
          <w:sz w:val="24"/>
          <w:szCs w:val="24"/>
        </w:rPr>
      </w:pPr>
      <w:r>
        <w:rPr>
          <w:rFonts w:cs="Calibri"/>
          <w:sz w:val="24"/>
          <w:szCs w:val="24"/>
        </w:rPr>
        <w:t>Basta unha pequena búsqueda na rede para obter información sobre os perigos da súa instalación:</w:t>
      </w:r>
    </w:p>
    <w:p w14:paraId="1AEA5AE3" w14:textId="77777777" w:rsidR="001A644A" w:rsidRPr="001A644A" w:rsidRDefault="001A644A">
      <w:pPr>
        <w:spacing w:after="0" w:line="240" w:lineRule="auto"/>
        <w:rPr>
          <w:rFonts w:cs="Calibri"/>
          <w:color w:val="000000" w:themeColor="text1"/>
          <w:sz w:val="24"/>
          <w:szCs w:val="24"/>
        </w:rPr>
      </w:pPr>
    </w:p>
    <w:p w14:paraId="6F03FA07" w14:textId="577E5147" w:rsidR="001A644A" w:rsidRDefault="0017543F" w:rsidP="00E70103">
      <w:pPr>
        <w:ind w:left="708"/>
        <w:rPr>
          <w:rFonts w:asciiTheme="minorHAnsi" w:hAnsiTheme="minorHAnsi" w:cstheme="minorHAnsi"/>
          <w:b/>
          <w:bCs/>
          <w:caps/>
          <w:color w:val="000000" w:themeColor="text1"/>
          <w:sz w:val="20"/>
          <w:szCs w:val="20"/>
        </w:rPr>
      </w:pPr>
      <w:hyperlink r:id="rId11" w:history="1">
        <w:r w:rsidR="001A644A" w:rsidRPr="001A644A">
          <w:rPr>
            <w:rStyle w:val="Hipervnculo"/>
            <w:rFonts w:asciiTheme="minorHAnsi" w:hAnsiTheme="minorHAnsi" w:cstheme="minorHAnsi"/>
            <w:caps/>
            <w:sz w:val="20"/>
            <w:szCs w:val="20"/>
          </w:rPr>
          <w:t>NO, FLASH PLAYER NO HA VUELTO Y SI TE DICEN QUE LO INSTALES ¡NO LO HAGAS!, ¿POR QUÉ?</w:t>
        </w:r>
      </w:hyperlink>
      <w:r w:rsidR="001A644A">
        <w:rPr>
          <w:rStyle w:val="Refdenotaalpie"/>
          <w:rFonts w:asciiTheme="minorHAnsi" w:hAnsiTheme="minorHAnsi"/>
          <w:b/>
          <w:bCs/>
          <w:caps/>
          <w:color w:val="000000" w:themeColor="text1"/>
          <w:sz w:val="20"/>
          <w:szCs w:val="20"/>
        </w:rPr>
        <w:footnoteReference w:id="1"/>
      </w:r>
    </w:p>
    <w:p w14:paraId="00D93AF8" w14:textId="16EEB618" w:rsidR="001A644A" w:rsidRDefault="0017543F" w:rsidP="00E70103">
      <w:pPr>
        <w:ind w:left="708"/>
        <w:rPr>
          <w:rFonts w:asciiTheme="minorHAnsi" w:hAnsiTheme="minorHAnsi" w:cstheme="minorHAnsi"/>
          <w:b/>
          <w:bCs/>
          <w:color w:val="111111"/>
          <w:sz w:val="18"/>
          <w:szCs w:val="18"/>
        </w:rPr>
      </w:pPr>
      <w:hyperlink r:id="rId12" w:history="1">
        <w:r w:rsidR="001A644A" w:rsidRPr="001A644A">
          <w:rPr>
            <w:rStyle w:val="Hipervnculo"/>
            <w:rFonts w:asciiTheme="minorHAnsi" w:hAnsiTheme="minorHAnsi" w:cstheme="minorHAnsi"/>
            <w:sz w:val="18"/>
            <w:szCs w:val="18"/>
          </w:rPr>
          <w:t>Fin de soporte de Flash Player: qué significa y qué pasa a partir de ahora</w:t>
        </w:r>
      </w:hyperlink>
      <w:r w:rsidR="001A644A">
        <w:rPr>
          <w:rStyle w:val="Refdenotaalpie"/>
          <w:rFonts w:asciiTheme="minorHAnsi" w:hAnsiTheme="minorHAnsi"/>
          <w:b/>
          <w:bCs/>
          <w:color w:val="111111"/>
          <w:sz w:val="18"/>
          <w:szCs w:val="18"/>
        </w:rPr>
        <w:footnoteReference w:id="2"/>
      </w:r>
    </w:p>
    <w:p w14:paraId="2DA67586" w14:textId="533F9A90" w:rsidR="001A644A" w:rsidRPr="001A644A" w:rsidRDefault="0017543F" w:rsidP="00E70103">
      <w:pPr>
        <w:ind w:left="708"/>
        <w:rPr>
          <w:rFonts w:asciiTheme="minorHAnsi" w:hAnsiTheme="minorHAnsi" w:cstheme="minorHAnsi"/>
          <w:b/>
          <w:color w:val="000000"/>
          <w:sz w:val="18"/>
          <w:szCs w:val="18"/>
        </w:rPr>
      </w:pPr>
      <w:hyperlink r:id="rId13" w:history="1">
        <w:r w:rsidR="001A644A" w:rsidRPr="001A644A">
          <w:rPr>
            <w:rStyle w:val="Hipervnculo"/>
            <w:rFonts w:asciiTheme="minorHAnsi" w:hAnsiTheme="minorHAnsi" w:cstheme="minorHAnsi"/>
            <w:sz w:val="18"/>
            <w:szCs w:val="18"/>
          </w:rPr>
          <w:t>Un mundo sin Adobe Flash</w:t>
        </w:r>
      </w:hyperlink>
      <w:r w:rsidR="001A644A">
        <w:rPr>
          <w:rStyle w:val="Refdenotaalpie"/>
          <w:rFonts w:asciiTheme="minorHAnsi" w:hAnsiTheme="minorHAnsi"/>
          <w:b/>
          <w:color w:val="000000"/>
          <w:sz w:val="18"/>
          <w:szCs w:val="18"/>
        </w:rPr>
        <w:footnoteReference w:id="3"/>
      </w:r>
    </w:p>
    <w:p w14:paraId="4E0CC4C8" w14:textId="292895AE" w:rsidR="001A644A" w:rsidRDefault="001A644A" w:rsidP="001A644A">
      <w:r>
        <w:t>Etc.</w:t>
      </w:r>
    </w:p>
    <w:p w14:paraId="1502FAA5" w14:textId="0AC64B49" w:rsidR="001A644A" w:rsidRDefault="001A644A" w:rsidP="00221E3B">
      <w:pPr>
        <w:jc w:val="both"/>
      </w:pPr>
      <w:r>
        <w:t>Obrigar a súa instalación</w:t>
      </w:r>
      <w:r w:rsidR="00221E3B">
        <w:t xml:space="preserve"> para consultar o EsIA, pon en perigo a seguridade informática de todos os que o fagan, e non se pode facer sen dita instalación. A Administración Galega debeu rexeitar o EsIA en dito formato para salvaguardar a seguridade informática dos que o consulten. Lonxe de facelo, o eleva a exposición pública cos perigos que acarrea.</w:t>
      </w:r>
    </w:p>
    <w:p w14:paraId="67466409" w14:textId="78BC523E" w:rsidR="00221E3B" w:rsidRPr="001A644A" w:rsidRDefault="00221E3B" w:rsidP="00221E3B">
      <w:pPr>
        <w:jc w:val="both"/>
      </w:pPr>
      <w:r>
        <w:t>Por todo o exposto, esiximos a republicación do EsIA con acceso co Adobe Acrobat Reader, sen a instalación de plug in ningún, e a apertura dun novo prazo de 30 días hábiles para a súa consulta.</w:t>
      </w:r>
    </w:p>
    <w:p w14:paraId="208DA81C" w14:textId="77777777" w:rsidR="001A644A" w:rsidRPr="001A644A" w:rsidRDefault="001A644A" w:rsidP="001A644A"/>
    <w:p w14:paraId="67BF67FA" w14:textId="77777777" w:rsidR="001A644A" w:rsidRDefault="001A644A">
      <w:pPr>
        <w:spacing w:after="0" w:line="240" w:lineRule="auto"/>
        <w:rPr>
          <w:rFonts w:cs="Calibri"/>
          <w:sz w:val="24"/>
          <w:szCs w:val="24"/>
        </w:rPr>
      </w:pPr>
    </w:p>
    <w:p w14:paraId="2CC4FEB4" w14:textId="77777777" w:rsidR="001A644A" w:rsidRDefault="001A644A">
      <w:pPr>
        <w:spacing w:after="0" w:line="240" w:lineRule="auto"/>
        <w:rPr>
          <w:rFonts w:cs="Calibri"/>
          <w:sz w:val="24"/>
          <w:szCs w:val="24"/>
        </w:rPr>
      </w:pPr>
    </w:p>
    <w:p w14:paraId="75592A7A" w14:textId="77777777" w:rsidR="00E44D1B" w:rsidRDefault="00E44D1B">
      <w:pPr>
        <w:spacing w:after="0" w:line="240" w:lineRule="auto"/>
        <w:rPr>
          <w:rFonts w:cs="Calibri"/>
          <w:sz w:val="24"/>
          <w:szCs w:val="24"/>
        </w:rPr>
      </w:pPr>
    </w:p>
    <w:p w14:paraId="3BC53A9D" w14:textId="1DCA44D3" w:rsidR="009211D9" w:rsidRPr="004022F0" w:rsidRDefault="009211D9" w:rsidP="00246A53">
      <w:pPr>
        <w:pStyle w:val="Default"/>
        <w:numPr>
          <w:ilvl w:val="0"/>
          <w:numId w:val="11"/>
        </w:numPr>
        <w:shd w:val="clear" w:color="auto" w:fill="C6D9F1"/>
        <w:ind w:left="1701" w:hanging="1701"/>
        <w:jc w:val="both"/>
        <w:outlineLvl w:val="0"/>
        <w:rPr>
          <w:rFonts w:ascii="Calibri" w:hAnsi="Calibri" w:cs="Calibri"/>
          <w:b/>
          <w:bCs/>
        </w:rPr>
      </w:pPr>
      <w:bookmarkStart w:id="3" w:name="_Toc87813561"/>
      <w:bookmarkStart w:id="4" w:name="_Toc87980512"/>
      <w:bookmarkStart w:id="5" w:name="_Toc87980573"/>
      <w:bookmarkStart w:id="6" w:name="_Toc132510938"/>
      <w:r w:rsidRPr="004022F0">
        <w:rPr>
          <w:rFonts w:ascii="Calibri" w:hAnsi="Calibri" w:cs="Calibri"/>
          <w:b/>
          <w:bCs/>
        </w:rPr>
        <w:t>Fal</w:t>
      </w:r>
      <w:r w:rsidR="00717F9D">
        <w:rPr>
          <w:rFonts w:ascii="Calibri" w:hAnsi="Calibri" w:cs="Calibri"/>
          <w:b/>
          <w:bCs/>
        </w:rPr>
        <w:t>l</w:t>
      </w:r>
      <w:r w:rsidRPr="004022F0">
        <w:rPr>
          <w:rFonts w:ascii="Calibri" w:hAnsi="Calibri" w:cs="Calibri"/>
          <w:b/>
          <w:bCs/>
        </w:rPr>
        <w:t>a de xustificación da necesidade do despliegue eólico actual e</w:t>
      </w:r>
      <w:r w:rsidR="00541521">
        <w:rPr>
          <w:rFonts w:ascii="Calibri" w:hAnsi="Calibri" w:cs="Calibri"/>
          <w:b/>
          <w:bCs/>
        </w:rPr>
        <w:t xml:space="preserve"> o</w:t>
      </w:r>
      <w:r w:rsidRPr="004022F0">
        <w:rPr>
          <w:rFonts w:ascii="Calibri" w:hAnsi="Calibri" w:cs="Calibri"/>
          <w:b/>
          <w:bCs/>
        </w:rPr>
        <w:t xml:space="preserve"> previsto.</w:t>
      </w:r>
      <w:bookmarkEnd w:id="3"/>
      <w:bookmarkEnd w:id="4"/>
      <w:bookmarkEnd w:id="5"/>
      <w:bookmarkEnd w:id="6"/>
    </w:p>
    <w:p w14:paraId="6DE356AC" w14:textId="444FAD39" w:rsidR="009211D9" w:rsidRPr="00501ECF" w:rsidRDefault="009211D9" w:rsidP="00E261BA">
      <w:pPr>
        <w:autoSpaceDE w:val="0"/>
        <w:autoSpaceDN w:val="0"/>
        <w:adjustRightInd w:val="0"/>
        <w:spacing w:before="120" w:after="0" w:line="240" w:lineRule="auto"/>
        <w:jc w:val="both"/>
        <w:rPr>
          <w:rFonts w:cs="Calibri"/>
          <w:color w:val="000000"/>
          <w:sz w:val="24"/>
          <w:szCs w:val="24"/>
        </w:rPr>
      </w:pPr>
      <w:r w:rsidRPr="00501ECF">
        <w:rPr>
          <w:rFonts w:cs="Calibri"/>
          <w:color w:val="0D0D0D"/>
          <w:sz w:val="24"/>
          <w:szCs w:val="24"/>
        </w:rPr>
        <w:t xml:space="preserve">A </w:t>
      </w:r>
      <w:r w:rsidR="00F7772F">
        <w:rPr>
          <w:rFonts w:cs="Calibri"/>
          <w:color w:val="0D0D0D"/>
          <w:sz w:val="24"/>
          <w:szCs w:val="24"/>
        </w:rPr>
        <w:t xml:space="preserve">UE na súa </w:t>
      </w:r>
      <w:hyperlink r:id="rId14" w:history="1">
        <w:r w:rsidRPr="00DE4F79">
          <w:rPr>
            <w:rStyle w:val="Hipervnculo"/>
            <w:rFonts w:cs="Calibri"/>
            <w:sz w:val="24"/>
            <w:szCs w:val="24"/>
          </w:rPr>
          <w:t>directiva 2009/28/CE</w:t>
        </w:r>
      </w:hyperlink>
      <w:r>
        <w:rPr>
          <w:rStyle w:val="Refdenotaalpie"/>
          <w:color w:val="0D0D0D"/>
          <w:sz w:val="24"/>
          <w:szCs w:val="24"/>
        </w:rPr>
        <w:footnoteReference w:id="4"/>
      </w:r>
      <w:r w:rsidRPr="00501ECF">
        <w:rPr>
          <w:rFonts w:cs="Calibri"/>
          <w:color w:val="0D0D0D"/>
          <w:sz w:val="24"/>
          <w:szCs w:val="24"/>
        </w:rPr>
        <w:t xml:space="preserve">, establecía </w:t>
      </w:r>
      <w:r w:rsidRPr="00501ECF">
        <w:rPr>
          <w:rFonts w:cs="Calibri"/>
          <w:color w:val="1D1D1D"/>
          <w:sz w:val="24"/>
          <w:szCs w:val="24"/>
        </w:rPr>
        <w:t xml:space="preserve">un obxectivo vinculante para alcanzar unha cuota do 20 % de enerxía procedente de fontes renovables no consumo final de enerxía para o ano 2020. </w:t>
      </w:r>
      <w:r w:rsidRPr="00501ECF">
        <w:rPr>
          <w:rFonts w:cs="Calibri"/>
          <w:color w:val="1D1D1D"/>
          <w:sz w:val="24"/>
          <w:szCs w:val="24"/>
        </w:rPr>
        <w:lastRenderedPageBreak/>
        <w:t xml:space="preserve">No ano 2018, o Parlamento Europeo e o Consejo aprobaron a </w:t>
      </w:r>
      <w:hyperlink r:id="rId15" w:history="1">
        <w:r w:rsidRPr="00DE4F79">
          <w:rPr>
            <w:rStyle w:val="Hipervnculo"/>
            <w:rFonts w:cs="Calibri"/>
            <w:sz w:val="24"/>
            <w:szCs w:val="24"/>
          </w:rPr>
          <w:t>Directiva 2018/2001</w:t>
        </w:r>
      </w:hyperlink>
      <w:r>
        <w:rPr>
          <w:rStyle w:val="Refdenotaalpie"/>
          <w:color w:val="1D1D1D"/>
          <w:sz w:val="24"/>
          <w:szCs w:val="24"/>
        </w:rPr>
        <w:footnoteReference w:id="5"/>
      </w:r>
      <w:r w:rsidRPr="00501ECF">
        <w:rPr>
          <w:rFonts w:cs="Calibri"/>
          <w:color w:val="1D1D1D"/>
          <w:sz w:val="24"/>
          <w:szCs w:val="24"/>
        </w:rPr>
        <w:t xml:space="preserve"> revisada sobre fontes de enerxía renovables, que establecía un obxectivo vinculante para a UE de unha cuota de alo menos un 32% de enerxías renovables para 2030, con unha cláusula para revisar á alza esta cuota a má</w:t>
      </w:r>
      <w:r>
        <w:rPr>
          <w:rFonts w:cs="Calibri"/>
          <w:color w:val="1D1D1D"/>
          <w:sz w:val="24"/>
          <w:szCs w:val="24"/>
        </w:rPr>
        <w:t>i</w:t>
      </w:r>
      <w:r w:rsidRPr="00501ECF">
        <w:rPr>
          <w:rFonts w:cs="Calibri"/>
          <w:color w:val="1D1D1D"/>
          <w:sz w:val="24"/>
          <w:szCs w:val="24"/>
        </w:rPr>
        <w:t>s tardar no 2023.</w:t>
      </w:r>
    </w:p>
    <w:p w14:paraId="4580FEC4" w14:textId="3FD65E6A" w:rsidR="009211D9" w:rsidRDefault="009211D9" w:rsidP="00E261BA">
      <w:pPr>
        <w:pStyle w:val="Prrafodelista"/>
        <w:spacing w:before="120"/>
        <w:ind w:left="0"/>
        <w:jc w:val="both"/>
        <w:rPr>
          <w:color w:val="000000"/>
          <w:sz w:val="24"/>
          <w:szCs w:val="24"/>
        </w:rPr>
      </w:pPr>
      <w:r w:rsidRPr="00501ECF">
        <w:rPr>
          <w:color w:val="000000"/>
          <w:sz w:val="24"/>
          <w:szCs w:val="24"/>
        </w:rPr>
        <w:t xml:space="preserve">No ano 2020 </w:t>
      </w:r>
      <w:r>
        <w:rPr>
          <w:color w:val="000000"/>
          <w:sz w:val="24"/>
          <w:szCs w:val="24"/>
        </w:rPr>
        <w:t xml:space="preserve">e segundo datos recollidos de </w:t>
      </w:r>
      <w:hyperlink r:id="rId16" w:history="1">
        <w:r w:rsidRPr="00DE4F79">
          <w:rPr>
            <w:rStyle w:val="Hipervnculo"/>
            <w:rFonts w:cs="Calibri"/>
            <w:sz w:val="24"/>
            <w:szCs w:val="24"/>
          </w:rPr>
          <w:t>Red Electrica Española</w:t>
        </w:r>
      </w:hyperlink>
      <w:r>
        <w:rPr>
          <w:rStyle w:val="Refdenotaalpie"/>
          <w:color w:val="000000"/>
          <w:sz w:val="24"/>
          <w:szCs w:val="24"/>
        </w:rPr>
        <w:footnoteReference w:id="6"/>
      </w:r>
      <w:r>
        <w:rPr>
          <w:color w:val="000000"/>
          <w:sz w:val="24"/>
          <w:szCs w:val="24"/>
        </w:rPr>
        <w:t xml:space="preserve"> (REE), </w:t>
      </w:r>
      <w:r w:rsidRPr="00501ECF">
        <w:rPr>
          <w:color w:val="000000"/>
          <w:sz w:val="24"/>
          <w:szCs w:val="24"/>
        </w:rPr>
        <w:t xml:space="preserve">a comunidade autónoma galega xa cumpría cos obxectivos marcados pola UE na Directiva 2018/2001 para o ano 2030, fixados nun 32% da producción eléctrica renovable, chegando xa no </w:t>
      </w:r>
      <w:r w:rsidR="000A0FB2">
        <w:rPr>
          <w:color w:val="000000"/>
          <w:sz w:val="24"/>
          <w:szCs w:val="24"/>
        </w:rPr>
        <w:t xml:space="preserve">ano </w:t>
      </w:r>
      <w:r w:rsidRPr="00501ECF">
        <w:rPr>
          <w:color w:val="000000"/>
          <w:sz w:val="24"/>
          <w:szCs w:val="24"/>
        </w:rPr>
        <w:t xml:space="preserve">2020 a triplicar holgadamente este obxectivo (Galiza xenerou o 106,82 % de enerxía renovable respecto a súa demanda), polo que </w:t>
      </w:r>
      <w:r w:rsidRPr="000A0FB2">
        <w:rPr>
          <w:b/>
          <w:color w:val="000000"/>
          <w:sz w:val="24"/>
          <w:szCs w:val="24"/>
        </w:rPr>
        <w:t>o despliegue eólico previsto na actualidade carece de calquera xustificación.</w:t>
      </w:r>
    </w:p>
    <w:p w14:paraId="00BA8FD5" w14:textId="77777777" w:rsidR="009211D9" w:rsidRDefault="009211D9" w:rsidP="00E261BA">
      <w:pPr>
        <w:pStyle w:val="Prrafodelista"/>
        <w:spacing w:before="120"/>
        <w:ind w:left="709"/>
        <w:jc w:val="both"/>
        <w:rPr>
          <w:color w:val="000000"/>
          <w:sz w:val="24"/>
          <w:szCs w:val="24"/>
        </w:rPr>
      </w:pPr>
    </w:p>
    <w:p w14:paraId="102C7DB4" w14:textId="77777777" w:rsidR="009211D9" w:rsidRDefault="009211D9" w:rsidP="00514E9D">
      <w:pPr>
        <w:pStyle w:val="Prrafodelista"/>
        <w:spacing w:before="120"/>
        <w:ind w:left="0"/>
        <w:jc w:val="center"/>
        <w:rPr>
          <w:color w:val="000000"/>
          <w:sz w:val="24"/>
          <w:szCs w:val="24"/>
        </w:rPr>
      </w:pPr>
      <w:r>
        <w:rPr>
          <w:rFonts w:cstheme="minorHAnsi"/>
          <w:noProof/>
          <w:color w:val="0D0D0D" w:themeColor="text1" w:themeTint="F2"/>
          <w:lang w:eastAsia="es-ES"/>
        </w:rPr>
        <w:drawing>
          <wp:inline distT="0" distB="0" distL="0" distR="0" wp14:anchorId="30165824" wp14:editId="64402F59">
            <wp:extent cx="5400040" cy="2954655"/>
            <wp:effectExtent l="0" t="0" r="0"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ciñon renovable-Demanda energético por CCAA 2020.png"/>
                    <pic:cNvPicPr/>
                  </pic:nvPicPr>
                  <pic:blipFill>
                    <a:blip r:embed="rId17">
                      <a:extLst>
                        <a:ext uri="{28A0092B-C50C-407E-A947-70E740481C1C}">
                          <a14:useLocalDpi xmlns:a14="http://schemas.microsoft.com/office/drawing/2010/main"/>
                        </a:ext>
                      </a:extLst>
                    </a:blip>
                    <a:stretch>
                      <a:fillRect/>
                    </a:stretch>
                  </pic:blipFill>
                  <pic:spPr>
                    <a:xfrm>
                      <a:off x="0" y="0"/>
                      <a:ext cx="5400040" cy="2954655"/>
                    </a:xfrm>
                    <a:prstGeom prst="rect">
                      <a:avLst/>
                    </a:prstGeom>
                  </pic:spPr>
                </pic:pic>
              </a:graphicData>
            </a:graphic>
          </wp:inline>
        </w:drawing>
      </w:r>
    </w:p>
    <w:p w14:paraId="15DF1306" w14:textId="77777777" w:rsidR="009211D9" w:rsidRDefault="009211D9" w:rsidP="00E261BA">
      <w:pPr>
        <w:autoSpaceDE w:val="0"/>
        <w:autoSpaceDN w:val="0"/>
        <w:adjustRightInd w:val="0"/>
        <w:spacing w:before="120" w:after="0" w:line="240" w:lineRule="auto"/>
        <w:jc w:val="center"/>
        <w:rPr>
          <w:rFonts w:cstheme="minorHAnsi"/>
          <w:sz w:val="16"/>
          <w:szCs w:val="16"/>
        </w:rPr>
      </w:pPr>
      <w:r>
        <w:rPr>
          <w:rFonts w:cstheme="minorHAnsi"/>
          <w:sz w:val="16"/>
          <w:szCs w:val="16"/>
        </w:rPr>
        <w:t>Fonte: Elaboración propia sobre datos de REE do ano 2020</w:t>
      </w:r>
    </w:p>
    <w:p w14:paraId="29E987BD" w14:textId="3B08FA72" w:rsidR="009211D9" w:rsidRDefault="009211D9" w:rsidP="00E261BA">
      <w:pPr>
        <w:autoSpaceDE w:val="0"/>
        <w:autoSpaceDN w:val="0"/>
        <w:adjustRightInd w:val="0"/>
        <w:spacing w:before="120" w:after="0" w:line="240" w:lineRule="auto"/>
        <w:jc w:val="both"/>
        <w:rPr>
          <w:rFonts w:cstheme="minorHAnsi"/>
          <w:sz w:val="24"/>
          <w:szCs w:val="24"/>
        </w:rPr>
      </w:pPr>
      <w:r w:rsidRPr="003236F3">
        <w:rPr>
          <w:rFonts w:cstheme="minorHAnsi"/>
          <w:sz w:val="24"/>
          <w:szCs w:val="24"/>
        </w:rPr>
        <w:t>As perdas enerxéticas no transporte</w:t>
      </w:r>
      <w:r>
        <w:rPr>
          <w:rFonts w:cstheme="minorHAnsi"/>
          <w:sz w:val="24"/>
          <w:szCs w:val="24"/>
        </w:rPr>
        <w:t xml:space="preserve"> e infraestructuras,</w:t>
      </w:r>
      <w:r w:rsidRPr="003236F3">
        <w:rPr>
          <w:rFonts w:cstheme="minorHAnsi"/>
          <w:sz w:val="24"/>
          <w:szCs w:val="24"/>
        </w:rPr>
        <w:t xml:space="preserve"> aumentan coa distancia entre o punto de xeración e o punto de consumo, podendo chegar ata o 30%. Esto quere decir que é case imprescindible achegar o máis posible os parques eólicos aos centros de maior consumo, como por exemplo a comunidade de Madrid</w:t>
      </w:r>
      <w:r>
        <w:rPr>
          <w:rFonts w:cstheme="minorHAnsi"/>
          <w:sz w:val="24"/>
          <w:szCs w:val="24"/>
        </w:rPr>
        <w:t xml:space="preserve">, </w:t>
      </w:r>
      <w:r w:rsidRPr="003236F3">
        <w:rPr>
          <w:rFonts w:cstheme="minorHAnsi"/>
          <w:sz w:val="24"/>
          <w:szCs w:val="24"/>
        </w:rPr>
        <w:t xml:space="preserve">que paradóxicamente non ten ningún parque eólico instalado. </w:t>
      </w:r>
      <w:r>
        <w:rPr>
          <w:rFonts w:cstheme="minorHAnsi"/>
          <w:sz w:val="24"/>
          <w:szCs w:val="24"/>
        </w:rPr>
        <w:t>Comunidades como a de Madrid, País Vasco, Cataluña e a Comunidade Valenciana, non cumpren cos obxectivos marcados pola UE para o ano 2020 (20% de enerxías renovables) e sen embargo suman unha demanda enerxética do 44,69% da demanda estatal.</w:t>
      </w:r>
    </w:p>
    <w:p w14:paraId="7F09227A" w14:textId="67EE2346" w:rsidR="009211D9" w:rsidRPr="003236F3" w:rsidRDefault="009211D9" w:rsidP="00E261BA">
      <w:pPr>
        <w:autoSpaceDE w:val="0"/>
        <w:autoSpaceDN w:val="0"/>
        <w:adjustRightInd w:val="0"/>
        <w:spacing w:before="120" w:after="0" w:line="240" w:lineRule="auto"/>
        <w:jc w:val="both"/>
        <w:rPr>
          <w:rFonts w:cstheme="minorHAnsi"/>
          <w:sz w:val="24"/>
          <w:szCs w:val="24"/>
        </w:rPr>
      </w:pPr>
      <w:r w:rsidRPr="003236F3">
        <w:rPr>
          <w:rFonts w:cstheme="minorHAnsi"/>
          <w:sz w:val="24"/>
          <w:szCs w:val="24"/>
        </w:rPr>
        <w:t xml:space="preserve">Sacrificar unha comunidade autónoma expoñendo o 28% do seu territorio </w:t>
      </w:r>
      <w:r>
        <w:rPr>
          <w:rFonts w:cstheme="minorHAnsi"/>
          <w:sz w:val="24"/>
          <w:szCs w:val="24"/>
        </w:rPr>
        <w:t>(</w:t>
      </w:r>
      <w:r w:rsidR="00FF0DB7">
        <w:rPr>
          <w:rFonts w:cstheme="minorHAnsi"/>
          <w:sz w:val="24"/>
          <w:szCs w:val="24"/>
        </w:rPr>
        <w:t>espacio que ocupa o PSEG</w:t>
      </w:r>
      <w:r>
        <w:rPr>
          <w:rFonts w:cstheme="minorHAnsi"/>
          <w:sz w:val="24"/>
          <w:szCs w:val="24"/>
        </w:rPr>
        <w:t xml:space="preserve">) </w:t>
      </w:r>
      <w:r w:rsidRPr="003236F3">
        <w:rPr>
          <w:rFonts w:cstheme="minorHAnsi"/>
          <w:sz w:val="24"/>
          <w:szCs w:val="24"/>
        </w:rPr>
        <w:t xml:space="preserve">á implantación de parques eólicos baixo a </w:t>
      </w:r>
      <w:r>
        <w:rPr>
          <w:rFonts w:cstheme="minorHAnsi"/>
          <w:sz w:val="24"/>
          <w:szCs w:val="24"/>
        </w:rPr>
        <w:t xml:space="preserve">condena </w:t>
      </w:r>
      <w:r w:rsidRPr="003236F3">
        <w:rPr>
          <w:rFonts w:cstheme="minorHAnsi"/>
          <w:sz w:val="24"/>
          <w:szCs w:val="24"/>
        </w:rPr>
        <w:t>d</w:t>
      </w:r>
      <w:r>
        <w:rPr>
          <w:rFonts w:cstheme="minorHAnsi"/>
          <w:sz w:val="24"/>
          <w:szCs w:val="24"/>
        </w:rPr>
        <w:t>a</w:t>
      </w:r>
      <w:r w:rsidRPr="003236F3">
        <w:rPr>
          <w:rFonts w:cstheme="minorHAnsi"/>
          <w:sz w:val="24"/>
          <w:szCs w:val="24"/>
        </w:rPr>
        <w:t xml:space="preserve"> expropiación forzosa e  levando a súa enerxía renovable a largas distancias, con perdas enerxéticas que poden chegar ao 30%, pensamos que cando menos merece un estudio preliminar serio que nunca ten sucedido.</w:t>
      </w:r>
    </w:p>
    <w:p w14:paraId="1C7CAF73" w14:textId="6954FC35" w:rsidR="009211D9" w:rsidRPr="003236F3" w:rsidRDefault="009211D9" w:rsidP="00E261BA">
      <w:pPr>
        <w:autoSpaceDE w:val="0"/>
        <w:autoSpaceDN w:val="0"/>
        <w:adjustRightInd w:val="0"/>
        <w:spacing w:before="120" w:after="0" w:line="240" w:lineRule="auto"/>
        <w:jc w:val="both"/>
        <w:rPr>
          <w:rFonts w:cstheme="minorHAnsi"/>
          <w:sz w:val="24"/>
          <w:szCs w:val="24"/>
        </w:rPr>
      </w:pPr>
      <w:r w:rsidRPr="003236F3">
        <w:rPr>
          <w:rFonts w:cstheme="minorHAnsi"/>
          <w:sz w:val="24"/>
          <w:szCs w:val="24"/>
        </w:rPr>
        <w:t>Esta nova gráfica expón o sacrificio de algunhas autonomías en favor de outras, xa que ofrece o ratio entre producción eólica e superficie en Km</w:t>
      </w:r>
      <w:r w:rsidRPr="003236F3">
        <w:rPr>
          <w:rFonts w:cstheme="minorHAnsi"/>
          <w:sz w:val="24"/>
          <w:szCs w:val="24"/>
          <w:vertAlign w:val="superscript"/>
        </w:rPr>
        <w:t>2</w:t>
      </w:r>
      <w:r w:rsidRPr="003236F3">
        <w:rPr>
          <w:rFonts w:cstheme="minorHAnsi"/>
          <w:sz w:val="24"/>
          <w:szCs w:val="24"/>
        </w:rPr>
        <w:t>, multiplicado por 100 para mellor resolución gráfica:</w:t>
      </w:r>
    </w:p>
    <w:p w14:paraId="76639A14" w14:textId="77777777" w:rsidR="009211D9" w:rsidRDefault="009211D9" w:rsidP="003F1819">
      <w:pPr>
        <w:autoSpaceDE w:val="0"/>
        <w:autoSpaceDN w:val="0"/>
        <w:adjustRightInd w:val="0"/>
        <w:spacing w:before="120" w:after="0" w:line="240" w:lineRule="auto"/>
        <w:jc w:val="center"/>
        <w:rPr>
          <w:rFonts w:cstheme="minorHAnsi"/>
        </w:rPr>
      </w:pPr>
      <w:r>
        <w:rPr>
          <w:rFonts w:cstheme="minorHAnsi"/>
          <w:noProof/>
          <w:lang w:eastAsia="es-ES"/>
        </w:rPr>
        <w:lastRenderedPageBreak/>
        <w:drawing>
          <wp:inline distT="0" distB="0" distL="0" distR="0" wp14:anchorId="0D65541C" wp14:editId="6EE493A3">
            <wp:extent cx="5465928" cy="2774431"/>
            <wp:effectExtent l="0" t="0" r="1905" b="6985"/>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ción eólica x superficia CCAA.jpg"/>
                    <pic:cNvPicPr/>
                  </pic:nvPicPr>
                  <pic:blipFill>
                    <a:blip r:embed="rId18">
                      <a:extLst>
                        <a:ext uri="{28A0092B-C50C-407E-A947-70E740481C1C}">
                          <a14:useLocalDpi xmlns:a14="http://schemas.microsoft.com/office/drawing/2010/main"/>
                        </a:ext>
                      </a:extLst>
                    </a:blip>
                    <a:stretch>
                      <a:fillRect/>
                    </a:stretch>
                  </pic:blipFill>
                  <pic:spPr>
                    <a:xfrm>
                      <a:off x="0" y="0"/>
                      <a:ext cx="5465699" cy="2774315"/>
                    </a:xfrm>
                    <a:prstGeom prst="rect">
                      <a:avLst/>
                    </a:prstGeom>
                  </pic:spPr>
                </pic:pic>
              </a:graphicData>
            </a:graphic>
          </wp:inline>
        </w:drawing>
      </w:r>
    </w:p>
    <w:p w14:paraId="661AE028" w14:textId="77777777" w:rsidR="009211D9" w:rsidRPr="00D42CFF" w:rsidRDefault="009211D9" w:rsidP="00E261BA">
      <w:pPr>
        <w:autoSpaceDE w:val="0"/>
        <w:autoSpaceDN w:val="0"/>
        <w:adjustRightInd w:val="0"/>
        <w:spacing w:before="120" w:after="0" w:line="240" w:lineRule="auto"/>
        <w:jc w:val="center"/>
        <w:rPr>
          <w:rFonts w:cstheme="minorHAnsi"/>
          <w:sz w:val="16"/>
          <w:szCs w:val="16"/>
        </w:rPr>
      </w:pPr>
      <w:r>
        <w:rPr>
          <w:rFonts w:cstheme="minorHAnsi"/>
          <w:sz w:val="16"/>
          <w:szCs w:val="16"/>
        </w:rPr>
        <w:t>Fonte: Elaboración propia sobre datos de REE do ano 2020</w:t>
      </w:r>
    </w:p>
    <w:p w14:paraId="190A50AA" w14:textId="77777777" w:rsidR="009211D9" w:rsidRPr="00892744" w:rsidRDefault="009211D9" w:rsidP="00E261BA">
      <w:pPr>
        <w:autoSpaceDE w:val="0"/>
        <w:autoSpaceDN w:val="0"/>
        <w:adjustRightInd w:val="0"/>
        <w:spacing w:before="120" w:after="0" w:line="240" w:lineRule="auto"/>
        <w:jc w:val="both"/>
        <w:rPr>
          <w:rFonts w:asciiTheme="minorHAnsi" w:hAnsiTheme="minorHAnsi" w:cstheme="minorHAnsi"/>
          <w:sz w:val="24"/>
          <w:szCs w:val="24"/>
        </w:rPr>
      </w:pPr>
    </w:p>
    <w:p w14:paraId="4F71FD8E" w14:textId="21E4550E" w:rsidR="00892744" w:rsidRPr="00892744" w:rsidRDefault="00892744" w:rsidP="004D6CF9">
      <w:pPr>
        <w:autoSpaceDE w:val="0"/>
        <w:autoSpaceDN w:val="0"/>
        <w:adjustRightInd w:val="0"/>
        <w:spacing w:before="120" w:after="0" w:line="240" w:lineRule="auto"/>
        <w:jc w:val="both"/>
        <w:rPr>
          <w:rFonts w:asciiTheme="minorHAnsi" w:eastAsia="ArialMT" w:hAnsiTheme="minorHAnsi" w:cstheme="minorHAnsi"/>
          <w:sz w:val="24"/>
          <w:szCs w:val="24"/>
          <w:lang w:eastAsia="es-ES"/>
        </w:rPr>
      </w:pPr>
      <w:r>
        <w:rPr>
          <w:rFonts w:asciiTheme="minorHAnsi" w:eastAsia="ArialMT" w:hAnsiTheme="minorHAnsi" w:cstheme="minorHAnsi"/>
          <w:sz w:val="24"/>
          <w:szCs w:val="24"/>
          <w:lang w:eastAsia="es-ES"/>
        </w:rPr>
        <w:t>P</w:t>
      </w:r>
      <w:r w:rsidRPr="00892744">
        <w:rPr>
          <w:rFonts w:asciiTheme="minorHAnsi" w:eastAsia="ArialMT" w:hAnsiTheme="minorHAnsi" w:cstheme="minorHAnsi"/>
          <w:sz w:val="24"/>
          <w:szCs w:val="24"/>
          <w:lang w:eastAsia="es-ES"/>
        </w:rPr>
        <w:t xml:space="preserve">ara </w:t>
      </w:r>
      <w:r>
        <w:rPr>
          <w:rFonts w:asciiTheme="minorHAnsi" w:eastAsia="ArialMT" w:hAnsiTheme="minorHAnsi" w:cstheme="minorHAnsi"/>
          <w:sz w:val="24"/>
          <w:szCs w:val="24"/>
          <w:lang w:eastAsia="es-ES"/>
        </w:rPr>
        <w:t xml:space="preserve">o </w:t>
      </w:r>
      <w:r w:rsidRPr="00892744">
        <w:rPr>
          <w:rFonts w:asciiTheme="minorHAnsi" w:eastAsia="ArialMT" w:hAnsiTheme="minorHAnsi" w:cstheme="minorHAnsi"/>
          <w:sz w:val="24"/>
          <w:szCs w:val="24"/>
          <w:lang w:eastAsia="es-ES"/>
        </w:rPr>
        <w:t>2030, o</w:t>
      </w:r>
      <w:r>
        <w:rPr>
          <w:rFonts w:asciiTheme="minorHAnsi" w:eastAsia="ArialMT" w:hAnsiTheme="minorHAnsi" w:cstheme="minorHAnsi"/>
          <w:sz w:val="24"/>
          <w:szCs w:val="24"/>
          <w:lang w:eastAsia="es-ES"/>
        </w:rPr>
        <w:t xml:space="preserve"> </w:t>
      </w:r>
      <w:hyperlink r:id="rId19" w:history="1">
        <w:r w:rsidRPr="00514E9D">
          <w:rPr>
            <w:rStyle w:val="Hipervnculo"/>
            <w:rFonts w:asciiTheme="minorHAnsi" w:eastAsia="ArialMT" w:hAnsiTheme="minorHAnsi" w:cstheme="minorHAnsi"/>
            <w:sz w:val="24"/>
            <w:szCs w:val="24"/>
            <w:lang w:eastAsia="es-ES"/>
          </w:rPr>
          <w:t>Plan Nacional Integrado de Energía y Clima (PNIEC) 2021-2030</w:t>
        </w:r>
      </w:hyperlink>
      <w:r w:rsidR="00514E9D">
        <w:rPr>
          <w:rStyle w:val="Refdenotaalpie"/>
          <w:rFonts w:asciiTheme="minorHAnsi" w:eastAsia="ArialMT" w:hAnsiTheme="minorHAnsi"/>
          <w:sz w:val="24"/>
          <w:szCs w:val="24"/>
          <w:lang w:eastAsia="es-ES"/>
        </w:rPr>
        <w:footnoteReference w:id="7"/>
      </w:r>
      <w:r w:rsidRPr="00892744">
        <w:rPr>
          <w:rFonts w:asciiTheme="minorHAnsi" w:eastAsia="ArialMT" w:hAnsiTheme="minorHAnsi" w:cstheme="minorHAnsi"/>
          <w:sz w:val="24"/>
          <w:szCs w:val="24"/>
          <w:lang w:eastAsia="es-ES"/>
        </w:rPr>
        <w:t xml:space="preserve"> prevé aumentar a</w:t>
      </w:r>
      <w:r>
        <w:rPr>
          <w:rFonts w:asciiTheme="minorHAnsi" w:eastAsia="ArialMT" w:hAnsiTheme="minorHAnsi" w:cstheme="minorHAnsi"/>
          <w:sz w:val="24"/>
          <w:szCs w:val="24"/>
          <w:lang w:eastAsia="es-ES"/>
        </w:rPr>
        <w:t xml:space="preserve"> </w:t>
      </w:r>
      <w:r w:rsidRPr="00892744">
        <w:rPr>
          <w:rFonts w:asciiTheme="minorHAnsi" w:eastAsia="ArialMT" w:hAnsiTheme="minorHAnsi" w:cstheme="minorHAnsi"/>
          <w:sz w:val="24"/>
          <w:szCs w:val="24"/>
          <w:lang w:eastAsia="es-ES"/>
        </w:rPr>
        <w:t>potencia eólica instalada ata os 50 GW e a solar ata os 39 GW, contemplando unha</w:t>
      </w:r>
      <w:r>
        <w:rPr>
          <w:rFonts w:asciiTheme="minorHAnsi" w:eastAsia="ArialMT" w:hAnsiTheme="minorHAnsi" w:cstheme="minorHAnsi"/>
          <w:sz w:val="24"/>
          <w:szCs w:val="24"/>
          <w:lang w:eastAsia="es-ES"/>
        </w:rPr>
        <w:t xml:space="preserve"> </w:t>
      </w:r>
      <w:r w:rsidRPr="00892744">
        <w:rPr>
          <w:rFonts w:asciiTheme="minorHAnsi" w:eastAsia="ArialMT" w:hAnsiTheme="minorHAnsi" w:cstheme="minorHAnsi"/>
          <w:sz w:val="24"/>
          <w:szCs w:val="24"/>
          <w:lang w:eastAsia="es-ES"/>
        </w:rPr>
        <w:t>potencia total de 89 GW para ambas tecnoloxías. Porén, o recente auxe das renovables</w:t>
      </w:r>
      <w:r>
        <w:rPr>
          <w:rFonts w:asciiTheme="minorHAnsi" w:eastAsia="ArialMT" w:hAnsiTheme="minorHAnsi" w:cstheme="minorHAnsi"/>
          <w:sz w:val="24"/>
          <w:szCs w:val="24"/>
          <w:lang w:eastAsia="es-ES"/>
        </w:rPr>
        <w:t xml:space="preserve"> </w:t>
      </w:r>
      <w:r w:rsidRPr="00892744">
        <w:rPr>
          <w:rFonts w:asciiTheme="minorHAnsi" w:eastAsia="ArialMT" w:hAnsiTheme="minorHAnsi" w:cstheme="minorHAnsi"/>
          <w:sz w:val="24"/>
          <w:szCs w:val="24"/>
          <w:lang w:eastAsia="es-ES"/>
        </w:rPr>
        <w:t>fixo que neste momento as solicitudes de novos proxectos superen xa esa potencia.</w:t>
      </w:r>
    </w:p>
    <w:p w14:paraId="64FB256D" w14:textId="42800E8A" w:rsidR="009211D9" w:rsidRDefault="00892744" w:rsidP="004D6CF9">
      <w:pPr>
        <w:autoSpaceDE w:val="0"/>
        <w:autoSpaceDN w:val="0"/>
        <w:adjustRightInd w:val="0"/>
        <w:spacing w:before="120" w:after="0" w:line="240" w:lineRule="auto"/>
        <w:jc w:val="both"/>
        <w:rPr>
          <w:rFonts w:asciiTheme="minorHAnsi" w:eastAsia="ArialMT" w:hAnsiTheme="minorHAnsi" w:cstheme="minorHAnsi"/>
          <w:sz w:val="24"/>
          <w:szCs w:val="24"/>
          <w:lang w:eastAsia="es-ES"/>
        </w:rPr>
      </w:pPr>
      <w:r w:rsidRPr="00892744">
        <w:rPr>
          <w:rFonts w:asciiTheme="minorHAnsi" w:eastAsia="ArialMT" w:hAnsiTheme="minorHAnsi" w:cstheme="minorHAnsi"/>
          <w:sz w:val="24"/>
          <w:szCs w:val="24"/>
          <w:lang w:eastAsia="es-ES"/>
        </w:rPr>
        <w:t>Segundo os datos de Red Eléctrica Españ</w:t>
      </w:r>
      <w:r w:rsidR="00514E9D">
        <w:rPr>
          <w:rFonts w:asciiTheme="minorHAnsi" w:eastAsia="ArialMT" w:hAnsiTheme="minorHAnsi" w:cstheme="minorHAnsi"/>
          <w:sz w:val="24"/>
          <w:szCs w:val="24"/>
          <w:lang w:eastAsia="es-ES"/>
        </w:rPr>
        <w:t>ola</w:t>
      </w:r>
      <w:r w:rsidRPr="00892744">
        <w:rPr>
          <w:rFonts w:asciiTheme="minorHAnsi" w:eastAsia="ArialMT" w:hAnsiTheme="minorHAnsi" w:cstheme="minorHAnsi"/>
          <w:sz w:val="24"/>
          <w:szCs w:val="24"/>
          <w:lang w:eastAsia="es-ES"/>
        </w:rPr>
        <w:t xml:space="preserve"> (REE), os novos proxectos pendentes de</w:t>
      </w:r>
      <w:r>
        <w:rPr>
          <w:rFonts w:asciiTheme="minorHAnsi" w:eastAsia="ArialMT" w:hAnsiTheme="minorHAnsi" w:cstheme="minorHAnsi"/>
          <w:sz w:val="24"/>
          <w:szCs w:val="24"/>
          <w:lang w:eastAsia="es-ES"/>
        </w:rPr>
        <w:t xml:space="preserve"> </w:t>
      </w:r>
      <w:r w:rsidRPr="00892744">
        <w:rPr>
          <w:rFonts w:asciiTheme="minorHAnsi" w:eastAsia="ArialMT" w:hAnsiTheme="minorHAnsi" w:cstheme="minorHAnsi"/>
          <w:sz w:val="24"/>
          <w:szCs w:val="24"/>
          <w:lang w:eastAsia="es-ES"/>
        </w:rPr>
        <w:t xml:space="preserve">poñer en funcionamento que xa contan con permisos de acceso </w:t>
      </w:r>
      <w:hyperlink r:id="rId20" w:history="1">
        <w:r w:rsidRPr="00892744">
          <w:rPr>
            <w:rStyle w:val="Hipervnculo"/>
            <w:rFonts w:asciiTheme="minorHAnsi" w:eastAsia="Arial-BoldMT" w:hAnsiTheme="minorHAnsi" w:cstheme="minorHAnsi"/>
            <w:b/>
            <w:bCs/>
            <w:sz w:val="24"/>
            <w:szCs w:val="24"/>
            <w:lang w:eastAsia="es-ES"/>
          </w:rPr>
          <w:t>suman ata 147,1 GW de enerx</w:t>
        </w:r>
        <w:r w:rsidRPr="00892744">
          <w:rPr>
            <w:rStyle w:val="Hipervnculo"/>
            <w:rFonts w:asciiTheme="minorHAnsi" w:eastAsia="Arial-BoldMT" w:hAnsiTheme="minorHAnsi" w:cstheme="minorHAnsi" w:hint="eastAsia"/>
            <w:b/>
            <w:bCs/>
            <w:sz w:val="24"/>
            <w:szCs w:val="24"/>
            <w:lang w:eastAsia="es-ES"/>
          </w:rPr>
          <w:t>í</w:t>
        </w:r>
        <w:r w:rsidRPr="00892744">
          <w:rPr>
            <w:rStyle w:val="Hipervnculo"/>
            <w:rFonts w:asciiTheme="minorHAnsi" w:eastAsia="Arial-BoldMT" w:hAnsiTheme="minorHAnsi" w:cstheme="minorHAnsi"/>
            <w:b/>
            <w:bCs/>
            <w:sz w:val="24"/>
            <w:szCs w:val="24"/>
            <w:lang w:eastAsia="es-ES"/>
          </w:rPr>
          <w:t>a fotovoltaica e e</w:t>
        </w:r>
        <w:r w:rsidRPr="00892744">
          <w:rPr>
            <w:rStyle w:val="Hipervnculo"/>
            <w:rFonts w:asciiTheme="minorHAnsi" w:eastAsia="Arial-BoldMT" w:hAnsiTheme="minorHAnsi" w:cstheme="minorHAnsi" w:hint="eastAsia"/>
            <w:b/>
            <w:bCs/>
            <w:sz w:val="24"/>
            <w:szCs w:val="24"/>
            <w:lang w:eastAsia="es-ES"/>
          </w:rPr>
          <w:t>ó</w:t>
        </w:r>
        <w:r w:rsidRPr="00892744">
          <w:rPr>
            <w:rStyle w:val="Hipervnculo"/>
            <w:rFonts w:asciiTheme="minorHAnsi" w:eastAsia="Arial-BoldMT" w:hAnsiTheme="minorHAnsi" w:cstheme="minorHAnsi"/>
            <w:b/>
            <w:bCs/>
            <w:sz w:val="24"/>
            <w:szCs w:val="24"/>
            <w:lang w:eastAsia="es-ES"/>
          </w:rPr>
          <w:t>lica</w:t>
        </w:r>
      </w:hyperlink>
      <w:r>
        <w:rPr>
          <w:rStyle w:val="Refdenotaalpie"/>
          <w:rFonts w:asciiTheme="minorHAnsi" w:eastAsia="Arial-BoldMT" w:hAnsiTheme="minorHAnsi"/>
          <w:b/>
          <w:bCs/>
          <w:sz w:val="24"/>
          <w:szCs w:val="24"/>
          <w:lang w:eastAsia="es-ES"/>
        </w:rPr>
        <w:footnoteReference w:id="8"/>
      </w:r>
      <w:r w:rsidRPr="00892744">
        <w:rPr>
          <w:rFonts w:asciiTheme="minorHAnsi" w:eastAsia="Arial-BoldMT" w:hAnsiTheme="minorHAnsi" w:cstheme="minorHAnsi"/>
          <w:b/>
          <w:bCs/>
          <w:sz w:val="24"/>
          <w:szCs w:val="24"/>
          <w:lang w:eastAsia="es-ES"/>
        </w:rPr>
        <w:t xml:space="preserve">. </w:t>
      </w:r>
      <w:r w:rsidRPr="00892744">
        <w:rPr>
          <w:rFonts w:asciiTheme="minorHAnsi" w:eastAsia="ArialMT" w:hAnsiTheme="minorHAnsi" w:cstheme="minorHAnsi"/>
          <w:sz w:val="24"/>
          <w:szCs w:val="24"/>
          <w:lang w:eastAsia="es-ES"/>
        </w:rPr>
        <w:t>Se estes proxectos se constrúen e se suman aos 38 GW</w:t>
      </w:r>
      <w:r>
        <w:rPr>
          <w:rFonts w:asciiTheme="minorHAnsi" w:eastAsia="ArialMT" w:hAnsiTheme="minorHAnsi" w:cstheme="minorHAnsi"/>
          <w:sz w:val="24"/>
          <w:szCs w:val="24"/>
          <w:lang w:eastAsia="es-ES"/>
        </w:rPr>
        <w:t xml:space="preserve"> </w:t>
      </w:r>
      <w:r w:rsidRPr="00892744">
        <w:rPr>
          <w:rFonts w:asciiTheme="minorHAnsi" w:eastAsia="ArialMT" w:hAnsiTheme="minorHAnsi" w:cstheme="minorHAnsi"/>
          <w:sz w:val="24"/>
          <w:szCs w:val="24"/>
          <w:lang w:eastAsia="es-ES"/>
        </w:rPr>
        <w:t>xa en servizo, acumularíase unha potencia renovable de 185,1 GW, o que duplicaría a</w:t>
      </w:r>
      <w:r>
        <w:rPr>
          <w:rFonts w:asciiTheme="minorHAnsi" w:eastAsia="ArialMT" w:hAnsiTheme="minorHAnsi" w:cstheme="minorHAnsi"/>
          <w:sz w:val="24"/>
          <w:szCs w:val="24"/>
          <w:lang w:eastAsia="es-ES"/>
        </w:rPr>
        <w:t xml:space="preserve"> </w:t>
      </w:r>
      <w:r w:rsidRPr="00892744">
        <w:rPr>
          <w:rFonts w:asciiTheme="minorHAnsi" w:eastAsia="ArialMT" w:hAnsiTheme="minorHAnsi" w:cstheme="minorHAnsi"/>
          <w:sz w:val="24"/>
          <w:szCs w:val="24"/>
          <w:lang w:eastAsia="es-ES"/>
        </w:rPr>
        <w:t xml:space="preserve">potencia prevista polo escenario obxectivo do PNIEC para 2030. Deste xeito, </w:t>
      </w:r>
      <w:r w:rsidRPr="00FF0DB7">
        <w:rPr>
          <w:rFonts w:asciiTheme="minorHAnsi" w:eastAsia="ArialMT" w:hAnsiTheme="minorHAnsi" w:cstheme="minorHAnsi"/>
          <w:b/>
          <w:sz w:val="24"/>
          <w:szCs w:val="24"/>
          <w:lang w:eastAsia="es-ES"/>
        </w:rPr>
        <w:t>o proxecto non ten xustificación en base aos obxectivos referidos</w:t>
      </w:r>
      <w:r>
        <w:rPr>
          <w:rFonts w:asciiTheme="minorHAnsi" w:eastAsia="ArialMT" w:hAnsiTheme="minorHAnsi" w:cstheme="minorHAnsi"/>
          <w:sz w:val="24"/>
          <w:szCs w:val="24"/>
          <w:lang w:eastAsia="es-ES"/>
        </w:rPr>
        <w:t>.</w:t>
      </w:r>
    </w:p>
    <w:p w14:paraId="5200B4B9" w14:textId="77777777" w:rsidR="004D6CF9" w:rsidRPr="00892744" w:rsidRDefault="004D6CF9" w:rsidP="004D6CF9">
      <w:pPr>
        <w:autoSpaceDE w:val="0"/>
        <w:autoSpaceDN w:val="0"/>
        <w:adjustRightInd w:val="0"/>
        <w:spacing w:before="120" w:after="0" w:line="240" w:lineRule="auto"/>
        <w:jc w:val="both"/>
        <w:rPr>
          <w:rFonts w:asciiTheme="minorHAnsi" w:hAnsiTheme="minorHAnsi" w:cstheme="minorHAnsi"/>
          <w:sz w:val="24"/>
          <w:szCs w:val="24"/>
        </w:rPr>
      </w:pPr>
    </w:p>
    <w:p w14:paraId="11D7A60F" w14:textId="77777777" w:rsidR="009211D9" w:rsidRPr="00501ECF" w:rsidRDefault="009211D9" w:rsidP="004D6CF9">
      <w:pPr>
        <w:autoSpaceDE w:val="0"/>
        <w:autoSpaceDN w:val="0"/>
        <w:adjustRightInd w:val="0"/>
        <w:spacing w:before="120" w:after="0" w:line="240" w:lineRule="auto"/>
        <w:jc w:val="both"/>
        <w:rPr>
          <w:rFonts w:cs="Calibri"/>
          <w:sz w:val="24"/>
          <w:szCs w:val="24"/>
        </w:rPr>
      </w:pPr>
    </w:p>
    <w:p w14:paraId="1C1442FF" w14:textId="1E5BA4F9" w:rsidR="009B3A3A" w:rsidRDefault="009B3A3A" w:rsidP="00246A53">
      <w:pPr>
        <w:pStyle w:val="Default"/>
        <w:numPr>
          <w:ilvl w:val="0"/>
          <w:numId w:val="11"/>
        </w:numPr>
        <w:shd w:val="clear" w:color="auto" w:fill="C6D9F1"/>
        <w:spacing w:before="120"/>
        <w:ind w:left="1701" w:hanging="1701"/>
        <w:jc w:val="both"/>
        <w:outlineLvl w:val="0"/>
        <w:rPr>
          <w:rFonts w:ascii="Calibri" w:hAnsi="Calibri" w:cs="Calibri"/>
          <w:b/>
        </w:rPr>
      </w:pPr>
      <w:bookmarkStart w:id="7" w:name="_Toc87813555"/>
      <w:bookmarkStart w:id="8" w:name="_Toc87980506"/>
      <w:bookmarkStart w:id="9" w:name="_Toc87980567"/>
      <w:bookmarkStart w:id="10" w:name="_Toc132510939"/>
      <w:r w:rsidRPr="004022F0">
        <w:rPr>
          <w:rFonts w:ascii="Calibri" w:hAnsi="Calibri" w:cs="Calibri"/>
          <w:b/>
        </w:rPr>
        <w:t xml:space="preserve">O Plan Sectorial Eólico </w:t>
      </w:r>
      <w:r w:rsidRPr="004022F0">
        <w:rPr>
          <w:rFonts w:ascii="Calibri" w:hAnsi="Calibri" w:cs="Calibri"/>
          <w:b/>
          <w:iCs/>
        </w:rPr>
        <w:t>Galego</w:t>
      </w:r>
      <w:r w:rsidRPr="004022F0">
        <w:rPr>
          <w:rFonts w:ascii="Calibri" w:hAnsi="Calibri" w:cs="Calibri"/>
          <w:b/>
        </w:rPr>
        <w:t xml:space="preserve"> carece de estudio ambiental</w:t>
      </w:r>
      <w:bookmarkEnd w:id="7"/>
      <w:bookmarkEnd w:id="8"/>
      <w:bookmarkEnd w:id="9"/>
      <w:bookmarkEnd w:id="10"/>
    </w:p>
    <w:p w14:paraId="54255444" w14:textId="7867928B" w:rsidR="00565345" w:rsidRPr="00D44D88" w:rsidRDefault="00565345" w:rsidP="004D6CF9">
      <w:pPr>
        <w:pStyle w:val="Textbody"/>
        <w:spacing w:before="120" w:after="113" w:line="240" w:lineRule="auto"/>
        <w:ind w:left="283" w:hanging="283"/>
        <w:jc w:val="both"/>
        <w:rPr>
          <w:rFonts w:asciiTheme="minorHAnsi" w:eastAsia="Calibri" w:hAnsiTheme="minorHAnsi" w:cstheme="minorHAnsi"/>
          <w:b/>
          <w:color w:val="000000"/>
        </w:rPr>
      </w:pPr>
      <w:r w:rsidRPr="00D44D88">
        <w:rPr>
          <w:rFonts w:asciiTheme="minorHAnsi" w:eastAsia="Calibri" w:hAnsiTheme="minorHAnsi" w:cstheme="minorHAnsi"/>
          <w:b/>
          <w:bCs/>
          <w:color w:val="000000"/>
        </w:rPr>
        <w:t>1)</w:t>
      </w:r>
      <w:r w:rsidRPr="00D44D88">
        <w:rPr>
          <w:rFonts w:asciiTheme="minorHAnsi" w:eastAsia="Calibri" w:hAnsiTheme="minorHAnsi" w:cstheme="minorHAnsi"/>
          <w:color w:val="000000"/>
        </w:rPr>
        <w:tab/>
        <w:t xml:space="preserve">O Plan Sectorial Eólico de Galicia (PSEG) foi tramitado e aprobado en 1997; foi modificado </w:t>
      </w:r>
      <w:r w:rsidR="00FF0DB7">
        <w:rPr>
          <w:rFonts w:asciiTheme="minorHAnsi" w:eastAsia="Calibri" w:hAnsiTheme="minorHAnsi" w:cstheme="minorHAnsi"/>
          <w:color w:val="000000"/>
        </w:rPr>
        <w:t>no</w:t>
      </w:r>
      <w:r w:rsidRPr="00D44D88">
        <w:rPr>
          <w:rFonts w:asciiTheme="minorHAnsi" w:eastAsia="Calibri" w:hAnsiTheme="minorHAnsi" w:cstheme="minorHAnsi"/>
          <w:color w:val="000000"/>
        </w:rPr>
        <w:t xml:space="preserve"> 2002 e nunca foi sometido a Avaliac</w:t>
      </w:r>
      <w:r w:rsidR="00722AE1">
        <w:rPr>
          <w:rFonts w:asciiTheme="minorHAnsi" w:eastAsia="Calibri" w:hAnsiTheme="minorHAnsi" w:cstheme="minorHAnsi"/>
          <w:color w:val="000000"/>
        </w:rPr>
        <w:t>ión Ambiental de Impacto (como P</w:t>
      </w:r>
      <w:r w:rsidRPr="00D44D88">
        <w:rPr>
          <w:rFonts w:asciiTheme="minorHAnsi" w:eastAsia="Calibri" w:hAnsiTheme="minorHAnsi" w:cstheme="minorHAnsi"/>
          <w:color w:val="000000"/>
        </w:rPr>
        <w:t>roxecto) nin Estratéxica (como Plan).</w:t>
      </w:r>
    </w:p>
    <w:p w14:paraId="28CE0D80" w14:textId="386DE07F" w:rsidR="00565345" w:rsidRDefault="00565345" w:rsidP="004D6CF9">
      <w:pPr>
        <w:pStyle w:val="Standard"/>
        <w:spacing w:before="120" w:after="170"/>
        <w:ind w:left="283"/>
        <w:jc w:val="both"/>
        <w:rPr>
          <w:rFonts w:asciiTheme="minorHAnsi" w:eastAsia="Calibri" w:hAnsiTheme="minorHAnsi" w:cstheme="minorHAnsi"/>
          <w:color w:val="000000"/>
        </w:rPr>
      </w:pPr>
      <w:r w:rsidRPr="00D44D88">
        <w:rPr>
          <w:rFonts w:asciiTheme="minorHAnsi" w:eastAsia="Calibri" w:hAnsiTheme="minorHAnsi" w:cstheme="minorHAnsi"/>
          <w:color w:val="000000"/>
        </w:rPr>
        <w:t>Nestas dúas décadas, e falando tan só da evolución técnica dos aeroxeradores, a modificación foi tan substancial que converteu o actual PSEG nun documento obsoleto e irrecuperable, que subsiste tan só como soporte espurio do seu Plano Xeral, no que se establece a distribución territorial, a extensión</w:t>
      </w:r>
      <w:r w:rsidR="00FF0DB7">
        <w:rPr>
          <w:rFonts w:asciiTheme="minorHAnsi" w:eastAsia="Calibri" w:hAnsiTheme="minorHAnsi" w:cstheme="minorHAnsi"/>
          <w:color w:val="000000"/>
        </w:rPr>
        <w:t>,</w:t>
      </w:r>
      <w:r w:rsidRPr="00D44D88">
        <w:rPr>
          <w:rFonts w:asciiTheme="minorHAnsi" w:eastAsia="Calibri" w:hAnsiTheme="minorHAnsi" w:cstheme="minorHAnsi"/>
          <w:color w:val="000000"/>
        </w:rPr>
        <w:t xml:space="preserve"> e os límites poligonais dos parques eólicos previstos. Un Plano Xeral tan inxustificado técnica, económica, social, cultural e ambientalmente como o conxunto do PSEG.</w:t>
      </w:r>
    </w:p>
    <w:p w14:paraId="3B7F654C" w14:textId="77777777" w:rsidR="00AF0805" w:rsidRDefault="00AF0805" w:rsidP="00A01580">
      <w:pPr>
        <w:spacing w:before="120" w:after="0" w:line="240" w:lineRule="auto"/>
        <w:ind w:left="283"/>
        <w:jc w:val="both"/>
        <w:rPr>
          <w:sz w:val="24"/>
          <w:szCs w:val="24"/>
          <w:vertAlign w:val="superscript"/>
        </w:rPr>
      </w:pPr>
      <w:r w:rsidRPr="0048266B">
        <w:rPr>
          <w:sz w:val="24"/>
          <w:szCs w:val="24"/>
        </w:rPr>
        <w:t xml:space="preserve">O PSEG, ocupa uhna superficie de 827.713 Ha, o que supón o 28% do total da superficie da Comunidade Autónoma Galega. </w:t>
      </w:r>
      <w:hyperlink r:id="rId21" w:history="1">
        <w:r w:rsidRPr="0048266B">
          <w:rPr>
            <w:rStyle w:val="Hipervnculo"/>
            <w:sz w:val="24"/>
            <w:szCs w:val="24"/>
          </w:rPr>
          <w:t>O seu  estado actual pode consultarse en ésta páxina de arcgis</w:t>
        </w:r>
      </w:hyperlink>
      <w:r w:rsidRPr="0048266B">
        <w:rPr>
          <w:sz w:val="24"/>
          <w:szCs w:val="24"/>
          <w:vertAlign w:val="superscript"/>
        </w:rPr>
        <w:footnoteReference w:id="9"/>
      </w:r>
      <w:r w:rsidRPr="0048266B">
        <w:rPr>
          <w:sz w:val="24"/>
          <w:szCs w:val="24"/>
          <w:vertAlign w:val="superscript"/>
        </w:rPr>
        <w:t>.</w:t>
      </w:r>
    </w:p>
    <w:p w14:paraId="4AF0EB4E" w14:textId="77777777" w:rsidR="00AF0805" w:rsidRPr="00D44D88" w:rsidRDefault="00AF0805" w:rsidP="00D44D88">
      <w:pPr>
        <w:pStyle w:val="Standard"/>
        <w:spacing w:before="120" w:after="170"/>
        <w:ind w:left="283"/>
        <w:jc w:val="both"/>
        <w:rPr>
          <w:rFonts w:asciiTheme="minorHAnsi" w:eastAsia="Calibri" w:hAnsiTheme="minorHAnsi" w:cstheme="minorHAnsi"/>
          <w:color w:val="000000"/>
        </w:rPr>
      </w:pPr>
    </w:p>
    <w:p w14:paraId="03E8A9AA" w14:textId="3ED8DD74" w:rsidR="00565345" w:rsidRPr="00D44D88" w:rsidRDefault="00565345" w:rsidP="00D44D88">
      <w:pPr>
        <w:pStyle w:val="Standard"/>
        <w:spacing w:before="120" w:after="113"/>
        <w:ind w:left="283" w:hanging="283"/>
        <w:jc w:val="both"/>
        <w:rPr>
          <w:rFonts w:asciiTheme="minorHAnsi" w:eastAsia="Calibri" w:hAnsiTheme="minorHAnsi" w:cstheme="minorHAnsi"/>
          <w:color w:val="000000"/>
        </w:rPr>
      </w:pPr>
      <w:r w:rsidRPr="00D44D88">
        <w:rPr>
          <w:rFonts w:asciiTheme="minorHAnsi" w:eastAsia="Calibri" w:hAnsiTheme="minorHAnsi" w:cstheme="minorHAnsi"/>
          <w:b/>
          <w:bCs/>
          <w:color w:val="000000"/>
        </w:rPr>
        <w:t>2)</w:t>
      </w:r>
      <w:r w:rsidRPr="00D44D88">
        <w:rPr>
          <w:rFonts w:asciiTheme="minorHAnsi" w:eastAsia="Calibri" w:hAnsiTheme="minorHAnsi" w:cstheme="minorHAnsi"/>
          <w:color w:val="000000"/>
        </w:rPr>
        <w:tab/>
        <w:t xml:space="preserve">O </w:t>
      </w:r>
      <w:r w:rsidRPr="00D44D88">
        <w:rPr>
          <w:rFonts w:asciiTheme="minorHAnsi" w:eastAsia="Calibri" w:hAnsiTheme="minorHAnsi" w:cstheme="minorHAnsi"/>
          <w:b/>
          <w:bCs/>
          <w:color w:val="000000"/>
        </w:rPr>
        <w:t>Plan Eólico de Galicia</w:t>
      </w:r>
      <w:r w:rsidRPr="00D44D88">
        <w:rPr>
          <w:rFonts w:asciiTheme="minorHAnsi" w:eastAsia="Calibri" w:hAnsiTheme="minorHAnsi" w:cstheme="minorHAnsi"/>
          <w:color w:val="000000"/>
        </w:rPr>
        <w:t xml:space="preserve"> foi tramitado en 1997 baixo a calificación de </w:t>
      </w:r>
      <w:r w:rsidRPr="00722AE1">
        <w:rPr>
          <w:rFonts w:asciiTheme="minorHAnsi" w:eastAsia="Calibri" w:hAnsiTheme="minorHAnsi" w:cstheme="minorHAnsi"/>
          <w:b/>
          <w:bCs/>
          <w:color w:val="000000"/>
          <w:u w:val="single"/>
        </w:rPr>
        <w:t>Proxecto Sectorial de Incidencia Municipal</w:t>
      </w:r>
      <w:r w:rsidRPr="00D44D88">
        <w:rPr>
          <w:rFonts w:asciiTheme="minorHAnsi" w:eastAsia="Calibri" w:hAnsiTheme="minorHAnsi" w:cstheme="minorHAnsi"/>
          <w:color w:val="000000"/>
        </w:rPr>
        <w:t xml:space="preserve">, de acordo coa </w:t>
      </w:r>
      <w:r w:rsidR="00715D46">
        <w:rPr>
          <w:rFonts w:asciiTheme="minorHAnsi" w:eastAsia="Calibri" w:hAnsiTheme="minorHAnsi" w:cstheme="minorHAnsi"/>
          <w:color w:val="000000"/>
        </w:rPr>
        <w:t>Lei 10/</w:t>
      </w:r>
      <w:r w:rsidRPr="00D44D88">
        <w:rPr>
          <w:rFonts w:asciiTheme="minorHAnsi" w:eastAsia="Calibri" w:hAnsiTheme="minorHAnsi" w:cstheme="minorHAnsi"/>
          <w:color w:val="000000"/>
        </w:rPr>
        <w:t>1995, de Ordenación do Territorio de Galicia, entón vixente.</w:t>
      </w:r>
    </w:p>
    <w:p w14:paraId="0FC1A126" w14:textId="3EAC5BAA" w:rsidR="00565345" w:rsidRPr="00D44D88" w:rsidRDefault="00565345" w:rsidP="00D44D88">
      <w:pPr>
        <w:pStyle w:val="Standard"/>
        <w:spacing w:before="120" w:after="113"/>
        <w:ind w:left="283"/>
        <w:jc w:val="both"/>
        <w:rPr>
          <w:rFonts w:asciiTheme="minorHAnsi" w:eastAsia="Calibri" w:hAnsiTheme="minorHAnsi" w:cstheme="minorHAnsi"/>
          <w:color w:val="000000"/>
        </w:rPr>
      </w:pPr>
      <w:r w:rsidRPr="00D44D88">
        <w:rPr>
          <w:rFonts w:asciiTheme="minorHAnsi" w:eastAsia="Calibri" w:hAnsiTheme="minorHAnsi" w:cstheme="minorHAnsi"/>
          <w:color w:val="000000"/>
          <w:spacing w:val="-4"/>
        </w:rPr>
        <w:t xml:space="preserve">O PSEG </w:t>
      </w:r>
      <w:r w:rsidRPr="00D44D88">
        <w:rPr>
          <w:rFonts w:asciiTheme="minorHAnsi" w:eastAsia="Calibri" w:hAnsiTheme="minorHAnsi" w:cstheme="minorHAnsi"/>
          <w:color w:val="000000"/>
        </w:rPr>
        <w:t>foi aprobado polo Consello da Xu</w:t>
      </w:r>
      <w:r w:rsidR="00FF0DB7">
        <w:rPr>
          <w:rFonts w:asciiTheme="minorHAnsi" w:eastAsia="Calibri" w:hAnsiTheme="minorHAnsi" w:cstheme="minorHAnsi"/>
          <w:color w:val="000000"/>
        </w:rPr>
        <w:t xml:space="preserve">nta </w:t>
      </w:r>
      <w:r w:rsidRPr="00D44D88">
        <w:rPr>
          <w:rFonts w:asciiTheme="minorHAnsi" w:eastAsia="Calibri" w:hAnsiTheme="minorHAnsi" w:cstheme="minorHAnsi"/>
          <w:color w:val="000000"/>
        </w:rPr>
        <w:t xml:space="preserve">o </w:t>
      </w:r>
      <w:r w:rsidR="00722AE1">
        <w:rPr>
          <w:rFonts w:asciiTheme="minorHAnsi" w:eastAsia="Calibri" w:hAnsiTheme="minorHAnsi" w:cstheme="minorHAnsi"/>
          <w:color w:val="000000"/>
        </w:rPr>
        <w:t>01/10/</w:t>
      </w:r>
      <w:r w:rsidRPr="00D44D88">
        <w:rPr>
          <w:rFonts w:asciiTheme="minorHAnsi" w:eastAsia="Calibri" w:hAnsiTheme="minorHAnsi" w:cstheme="minorHAnsi"/>
          <w:color w:val="000000"/>
        </w:rPr>
        <w:t>1997 (</w:t>
      </w:r>
      <w:r w:rsidRPr="00722AE1">
        <w:rPr>
          <w:rFonts w:asciiTheme="minorHAnsi" w:hAnsiTheme="minorHAnsi" w:cstheme="minorHAnsi"/>
          <w:b/>
        </w:rPr>
        <w:t>hai 24 anos</w:t>
      </w:r>
      <w:r w:rsidRPr="00D44D88">
        <w:rPr>
          <w:rFonts w:asciiTheme="minorHAnsi" w:eastAsia="Calibri" w:hAnsiTheme="minorHAnsi" w:cstheme="minorHAnsi"/>
          <w:color w:val="000000"/>
        </w:rPr>
        <w:t xml:space="preserve">). </w:t>
      </w:r>
      <w:r w:rsidR="00722AE1">
        <w:rPr>
          <w:rFonts w:asciiTheme="minorHAnsi" w:eastAsia="Calibri" w:hAnsiTheme="minorHAnsi" w:cstheme="minorHAnsi"/>
          <w:color w:val="000000"/>
        </w:rPr>
        <w:t xml:space="preserve">A aprobación publicouse no DOG </w:t>
      </w:r>
      <w:r w:rsidRPr="00D44D88">
        <w:rPr>
          <w:rFonts w:asciiTheme="minorHAnsi" w:eastAsia="Calibri" w:hAnsiTheme="minorHAnsi" w:cstheme="minorHAnsi"/>
          <w:color w:val="000000"/>
        </w:rPr>
        <w:t xml:space="preserve">o </w:t>
      </w:r>
      <w:r w:rsidR="00722AE1">
        <w:rPr>
          <w:rFonts w:asciiTheme="minorHAnsi" w:eastAsia="Calibri" w:hAnsiTheme="minorHAnsi" w:cstheme="minorHAnsi"/>
          <w:color w:val="000000"/>
        </w:rPr>
        <w:t>15/12/</w:t>
      </w:r>
      <w:r w:rsidRPr="00D44D88">
        <w:rPr>
          <w:rFonts w:asciiTheme="minorHAnsi" w:eastAsia="Calibri" w:hAnsiTheme="minorHAnsi" w:cstheme="minorHAnsi"/>
          <w:color w:val="000000"/>
        </w:rPr>
        <w:t>1997:</w:t>
      </w:r>
    </w:p>
    <w:p w14:paraId="124FDFBC" w14:textId="2767DE15" w:rsidR="00565345" w:rsidRPr="00722AE1" w:rsidRDefault="0017543F" w:rsidP="00722AE1">
      <w:pPr>
        <w:ind w:left="708"/>
        <w:rPr>
          <w:sz w:val="20"/>
          <w:szCs w:val="20"/>
        </w:rPr>
      </w:pPr>
      <w:hyperlink r:id="rId22" w:history="1">
        <w:r w:rsidR="00565345" w:rsidRPr="00722AE1">
          <w:rPr>
            <w:rStyle w:val="Hipervnculo"/>
            <w:sz w:val="20"/>
            <w:szCs w:val="20"/>
          </w:rPr>
          <w:t xml:space="preserve">DOG Núm 241 </w:t>
        </w:r>
      </w:hyperlink>
      <w:r w:rsidR="00722AE1">
        <w:rPr>
          <w:rStyle w:val="Refdenotaalpie"/>
          <w:sz w:val="20"/>
          <w:szCs w:val="20"/>
        </w:rPr>
        <w:footnoteReference w:id="10"/>
      </w:r>
      <w:r w:rsidR="00565345" w:rsidRPr="00722AE1">
        <w:rPr>
          <w:sz w:val="20"/>
          <w:szCs w:val="20"/>
        </w:rPr>
        <w:t xml:space="preserve"> -  Luns, 15 de decembro de 1997  -  páx. 12.051</w:t>
      </w:r>
    </w:p>
    <w:p w14:paraId="1D46FA3A" w14:textId="77777777" w:rsidR="00565345" w:rsidRPr="00722AE1" w:rsidRDefault="00565345" w:rsidP="00722AE1">
      <w:pPr>
        <w:ind w:left="708"/>
        <w:rPr>
          <w:sz w:val="20"/>
          <w:szCs w:val="20"/>
        </w:rPr>
      </w:pPr>
      <w:r w:rsidRPr="00722AE1">
        <w:rPr>
          <w:sz w:val="20"/>
          <w:szCs w:val="20"/>
        </w:rPr>
        <w:t>RESOLUCIÓN do 14 de outubro de 1997, da Dirección Xeral de Industria, pola que se ordena a publicación do acordo do Consello da Xunta de Galicia do 1 de outubro de 1997 polo que se aproba definitivamente o proxecto sectorial de incidencia supramunicipal denominado Plan Eólico de Galicia.</w:t>
      </w:r>
    </w:p>
    <w:p w14:paraId="46FA4F1F" w14:textId="77777777" w:rsidR="00565345" w:rsidRPr="00D44D88" w:rsidRDefault="00565345" w:rsidP="00246A53">
      <w:pPr>
        <w:pStyle w:val="Standard"/>
        <w:widowControl w:val="0"/>
        <w:numPr>
          <w:ilvl w:val="0"/>
          <w:numId w:val="12"/>
        </w:numPr>
        <w:spacing w:before="120" w:after="113"/>
        <w:ind w:left="709" w:hanging="425"/>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O texto orixinal do PSEG 1997 non figura na web da Xunta de Galicia.</w:t>
      </w:r>
    </w:p>
    <w:p w14:paraId="0BBA401E" w14:textId="77777777" w:rsidR="00565345" w:rsidRPr="00D44D88" w:rsidRDefault="00565345" w:rsidP="00246A53">
      <w:pPr>
        <w:pStyle w:val="Standard"/>
        <w:widowControl w:val="0"/>
        <w:numPr>
          <w:ilvl w:val="0"/>
          <w:numId w:val="12"/>
        </w:numPr>
        <w:spacing w:before="120" w:after="57"/>
        <w:ind w:left="709" w:hanging="425"/>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Naquel momento estaban en vigor as seguintes normas de Avaliación Ambiental de Proxectos:</w:t>
      </w:r>
    </w:p>
    <w:p w14:paraId="033A68F0" w14:textId="0F12F638" w:rsidR="00565345" w:rsidRPr="00D44D88" w:rsidRDefault="0017543F" w:rsidP="00246A53">
      <w:pPr>
        <w:pStyle w:val="Standard"/>
        <w:widowControl w:val="0"/>
        <w:numPr>
          <w:ilvl w:val="0"/>
          <w:numId w:val="13"/>
        </w:numPr>
        <w:spacing w:before="120" w:after="57"/>
        <w:ind w:left="1134" w:hanging="425"/>
        <w:jc w:val="both"/>
        <w:textAlignment w:val="auto"/>
        <w:rPr>
          <w:rFonts w:asciiTheme="minorHAnsi" w:eastAsia="Calibri" w:hAnsiTheme="minorHAnsi" w:cstheme="minorHAnsi"/>
          <w:color w:val="000000"/>
        </w:rPr>
      </w:pPr>
      <w:hyperlink r:id="rId23" w:history="1">
        <w:r w:rsidR="00565345" w:rsidRPr="00722AE1">
          <w:rPr>
            <w:rStyle w:val="Hipervnculo"/>
            <w:rFonts w:asciiTheme="minorHAnsi" w:eastAsia="Calibri" w:hAnsiTheme="minorHAnsi" w:cstheme="minorHAnsi"/>
          </w:rPr>
          <w:t>Directiva 85/337/CEE</w:t>
        </w:r>
      </w:hyperlink>
      <w:r w:rsidR="00722AE1">
        <w:rPr>
          <w:rStyle w:val="Refdenotaalpie"/>
          <w:rFonts w:asciiTheme="minorHAnsi" w:eastAsia="Calibri" w:hAnsiTheme="minorHAnsi"/>
          <w:color w:val="000000"/>
        </w:rPr>
        <w:footnoteReference w:id="11"/>
      </w:r>
      <w:r w:rsidR="00565345" w:rsidRPr="00D44D88">
        <w:rPr>
          <w:rFonts w:asciiTheme="minorHAnsi" w:eastAsia="Calibri" w:hAnsiTheme="minorHAnsi" w:cstheme="minorHAnsi"/>
          <w:color w:val="000000"/>
        </w:rPr>
        <w:t>. Os parques eólicos fi</w:t>
      </w:r>
      <w:r w:rsidR="001C47E9">
        <w:rPr>
          <w:rFonts w:asciiTheme="minorHAnsi" w:eastAsia="Calibri" w:hAnsiTheme="minorHAnsi" w:cstheme="minorHAnsi"/>
          <w:color w:val="000000"/>
        </w:rPr>
        <w:t>guraban no Anexo II, grupo 3.- a</w:t>
      </w:r>
      <w:r w:rsidR="00565345" w:rsidRPr="00D44D88">
        <w:rPr>
          <w:rFonts w:asciiTheme="minorHAnsi" w:eastAsia="Calibri" w:hAnsiTheme="minorHAnsi" w:cstheme="minorHAnsi"/>
          <w:color w:val="000000"/>
        </w:rPr>
        <w:t>) da norma.</w:t>
      </w:r>
    </w:p>
    <w:p w14:paraId="72D86ED7" w14:textId="55B6AB77" w:rsidR="00565345" w:rsidRPr="00D44D88" w:rsidRDefault="0017543F" w:rsidP="00246A53">
      <w:pPr>
        <w:pStyle w:val="Standard"/>
        <w:widowControl w:val="0"/>
        <w:numPr>
          <w:ilvl w:val="0"/>
          <w:numId w:val="13"/>
        </w:numPr>
        <w:spacing w:before="120" w:after="57"/>
        <w:ind w:left="1134" w:hanging="425"/>
        <w:jc w:val="both"/>
        <w:textAlignment w:val="auto"/>
        <w:rPr>
          <w:rFonts w:asciiTheme="minorHAnsi" w:eastAsia="Calibri" w:hAnsiTheme="minorHAnsi" w:cstheme="minorHAnsi"/>
          <w:color w:val="000000"/>
        </w:rPr>
      </w:pPr>
      <w:hyperlink r:id="rId24" w:history="1">
        <w:r w:rsidR="00565345" w:rsidRPr="00722AE1">
          <w:rPr>
            <w:rStyle w:val="Hipervnculo"/>
            <w:rFonts w:asciiTheme="minorHAnsi" w:eastAsia="Calibri" w:hAnsiTheme="minorHAnsi" w:cstheme="minorHAnsi"/>
          </w:rPr>
          <w:t>RDLex 13</w:t>
        </w:r>
        <w:r w:rsidR="00722AE1" w:rsidRPr="00722AE1">
          <w:rPr>
            <w:rStyle w:val="Hipervnculo"/>
            <w:rFonts w:asciiTheme="minorHAnsi" w:eastAsia="Calibri" w:hAnsiTheme="minorHAnsi" w:cstheme="minorHAnsi"/>
          </w:rPr>
          <w:t>0</w:t>
        </w:r>
        <w:r w:rsidR="00565345" w:rsidRPr="00722AE1">
          <w:rPr>
            <w:rStyle w:val="Hipervnculo"/>
            <w:rFonts w:asciiTheme="minorHAnsi" w:eastAsia="Calibri" w:hAnsiTheme="minorHAnsi" w:cstheme="minorHAnsi"/>
          </w:rPr>
          <w:t>2/1986</w:t>
        </w:r>
      </w:hyperlink>
      <w:r w:rsidR="00722AE1">
        <w:rPr>
          <w:rStyle w:val="Refdenotaalpie"/>
          <w:rFonts w:asciiTheme="minorHAnsi" w:eastAsia="Calibri" w:hAnsiTheme="minorHAnsi"/>
          <w:color w:val="000000"/>
        </w:rPr>
        <w:footnoteReference w:id="12"/>
      </w:r>
      <w:r w:rsidR="00565345" w:rsidRPr="00D44D88">
        <w:rPr>
          <w:rFonts w:asciiTheme="minorHAnsi" w:eastAsia="Calibri" w:hAnsiTheme="minorHAnsi" w:cstheme="minorHAnsi"/>
          <w:color w:val="000000"/>
        </w:rPr>
        <w:t>, de AIA (transposición irregular da Directiva 85/337/CEE), e o seu</w:t>
      </w:r>
    </w:p>
    <w:p w14:paraId="74211C06" w14:textId="47B7AA5B" w:rsidR="00565345" w:rsidRPr="00D44D88" w:rsidRDefault="0017543F" w:rsidP="00246A53">
      <w:pPr>
        <w:pStyle w:val="Standard"/>
        <w:widowControl w:val="0"/>
        <w:numPr>
          <w:ilvl w:val="0"/>
          <w:numId w:val="13"/>
        </w:numPr>
        <w:spacing w:before="120" w:after="57"/>
        <w:ind w:left="1134" w:hanging="425"/>
        <w:jc w:val="both"/>
        <w:textAlignment w:val="auto"/>
        <w:rPr>
          <w:rFonts w:asciiTheme="minorHAnsi" w:eastAsia="Calibri" w:hAnsiTheme="minorHAnsi" w:cstheme="minorHAnsi"/>
          <w:color w:val="000000"/>
        </w:rPr>
      </w:pPr>
      <w:hyperlink r:id="rId25" w:history="1">
        <w:r w:rsidR="00565345" w:rsidRPr="00722AE1">
          <w:rPr>
            <w:rStyle w:val="Hipervnculo"/>
            <w:rFonts w:asciiTheme="minorHAnsi" w:eastAsia="Calibri" w:hAnsiTheme="minorHAnsi" w:cstheme="minorHAnsi"/>
          </w:rPr>
          <w:t>RD 1131/1988</w:t>
        </w:r>
      </w:hyperlink>
      <w:r w:rsidR="00722AE1">
        <w:rPr>
          <w:rStyle w:val="Refdenotaalpie"/>
          <w:rFonts w:asciiTheme="minorHAnsi" w:eastAsia="Calibri" w:hAnsiTheme="minorHAnsi"/>
          <w:color w:val="000000"/>
        </w:rPr>
        <w:footnoteReference w:id="13"/>
      </w:r>
      <w:r w:rsidR="00565345" w:rsidRPr="00D44D88">
        <w:rPr>
          <w:rFonts w:asciiTheme="minorHAnsi" w:eastAsia="Calibri" w:hAnsiTheme="minorHAnsi" w:cstheme="minorHAnsi"/>
          <w:color w:val="000000"/>
        </w:rPr>
        <w:t>, regulamento do RDLex 13</w:t>
      </w:r>
      <w:r w:rsidR="00715D46">
        <w:rPr>
          <w:rFonts w:asciiTheme="minorHAnsi" w:eastAsia="Calibri" w:hAnsiTheme="minorHAnsi" w:cstheme="minorHAnsi"/>
          <w:color w:val="000000"/>
        </w:rPr>
        <w:t>0</w:t>
      </w:r>
      <w:r w:rsidR="00565345" w:rsidRPr="00D44D88">
        <w:rPr>
          <w:rFonts w:asciiTheme="minorHAnsi" w:eastAsia="Calibri" w:hAnsiTheme="minorHAnsi" w:cstheme="minorHAnsi"/>
          <w:color w:val="000000"/>
        </w:rPr>
        <w:t>2/1986, de AIA (tan irregular como o RDLex).</w:t>
      </w:r>
    </w:p>
    <w:p w14:paraId="353D14EE" w14:textId="77777777" w:rsidR="00565345" w:rsidRPr="00D44D88" w:rsidRDefault="00565345" w:rsidP="00246A53">
      <w:pPr>
        <w:pStyle w:val="Standard"/>
        <w:widowControl w:val="0"/>
        <w:numPr>
          <w:ilvl w:val="2"/>
          <w:numId w:val="13"/>
        </w:numPr>
        <w:spacing w:before="120" w:after="170"/>
        <w:ind w:left="1134" w:hanging="426"/>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Os parques eólicos non figuraban no Anexo único de ningún dos dous Reais Decretos.</w:t>
      </w:r>
    </w:p>
    <w:p w14:paraId="0358C6F5" w14:textId="33F8D2F2" w:rsidR="00565345" w:rsidRPr="00D44D88" w:rsidRDefault="00565345" w:rsidP="00D44D88">
      <w:pPr>
        <w:pStyle w:val="Standard"/>
        <w:spacing w:before="120" w:after="113"/>
        <w:ind w:left="283" w:hanging="283"/>
        <w:jc w:val="both"/>
        <w:rPr>
          <w:rFonts w:asciiTheme="minorHAnsi" w:eastAsia="Calibri" w:hAnsiTheme="minorHAnsi" w:cstheme="minorHAnsi"/>
          <w:color w:val="000000"/>
        </w:rPr>
      </w:pPr>
      <w:r w:rsidRPr="00D44D88">
        <w:rPr>
          <w:rFonts w:asciiTheme="minorHAnsi" w:eastAsia="Calibri" w:hAnsiTheme="minorHAnsi" w:cstheme="minorHAnsi"/>
          <w:b/>
          <w:bCs/>
          <w:color w:val="000000"/>
        </w:rPr>
        <w:t>3)</w:t>
      </w:r>
      <w:r w:rsidRPr="00D44D88">
        <w:rPr>
          <w:rFonts w:asciiTheme="minorHAnsi" w:eastAsia="Calibri" w:hAnsiTheme="minorHAnsi" w:cstheme="minorHAnsi"/>
          <w:color w:val="000000"/>
        </w:rPr>
        <w:tab/>
        <w:t xml:space="preserve">O Proxecto do Plan Eólico de Galicia foi modificado en 2002. A modificación foi aprobada polo Consello da Xunta o </w:t>
      </w:r>
      <w:r w:rsidR="0084348B">
        <w:rPr>
          <w:rFonts w:asciiTheme="minorHAnsi" w:eastAsia="Calibri" w:hAnsiTheme="minorHAnsi" w:cstheme="minorHAnsi"/>
          <w:color w:val="000000"/>
        </w:rPr>
        <w:t>12/05/</w:t>
      </w:r>
      <w:r w:rsidRPr="00D44D88">
        <w:rPr>
          <w:rFonts w:asciiTheme="minorHAnsi" w:eastAsia="Calibri" w:hAnsiTheme="minorHAnsi" w:cstheme="minorHAnsi"/>
          <w:color w:val="000000"/>
        </w:rPr>
        <w:t>2002 (</w:t>
      </w:r>
      <w:r w:rsidRPr="0084348B">
        <w:rPr>
          <w:rFonts w:asciiTheme="minorHAnsi" w:hAnsiTheme="minorHAnsi" w:cstheme="minorHAnsi"/>
          <w:b/>
        </w:rPr>
        <w:t>hai 19 anos</w:t>
      </w:r>
      <w:r w:rsidRPr="00D44D88">
        <w:rPr>
          <w:rFonts w:asciiTheme="minorHAnsi" w:eastAsia="Calibri" w:hAnsiTheme="minorHAnsi" w:cstheme="minorHAnsi"/>
          <w:color w:val="000000"/>
        </w:rPr>
        <w:t xml:space="preserve">). A aprobación publicouse no DOG </w:t>
      </w:r>
      <w:r w:rsidR="0084348B">
        <w:rPr>
          <w:rFonts w:asciiTheme="minorHAnsi" w:eastAsia="Calibri" w:hAnsiTheme="minorHAnsi" w:cstheme="minorHAnsi"/>
          <w:color w:val="000000"/>
        </w:rPr>
        <w:t>o</w:t>
      </w:r>
      <w:r w:rsidRPr="00D44D88">
        <w:rPr>
          <w:rFonts w:asciiTheme="minorHAnsi" w:eastAsia="Calibri" w:hAnsiTheme="minorHAnsi" w:cstheme="minorHAnsi"/>
          <w:color w:val="000000"/>
        </w:rPr>
        <w:t xml:space="preserve"> </w:t>
      </w:r>
      <w:r w:rsidR="0084348B">
        <w:rPr>
          <w:rFonts w:asciiTheme="minorHAnsi" w:eastAsia="Calibri" w:hAnsiTheme="minorHAnsi" w:cstheme="minorHAnsi"/>
          <w:color w:val="000000"/>
        </w:rPr>
        <w:t>13/01/</w:t>
      </w:r>
      <w:r w:rsidRPr="00D44D88">
        <w:rPr>
          <w:rFonts w:asciiTheme="minorHAnsi" w:eastAsia="Calibri" w:hAnsiTheme="minorHAnsi" w:cstheme="minorHAnsi"/>
          <w:color w:val="000000"/>
        </w:rPr>
        <w:t>2003:</w:t>
      </w:r>
    </w:p>
    <w:p w14:paraId="7FD545F8" w14:textId="386995C7" w:rsidR="00565345" w:rsidRPr="0084348B" w:rsidRDefault="0017543F" w:rsidP="0084348B">
      <w:pPr>
        <w:ind w:left="708"/>
        <w:rPr>
          <w:sz w:val="20"/>
          <w:szCs w:val="20"/>
        </w:rPr>
      </w:pPr>
      <w:hyperlink r:id="rId26" w:history="1">
        <w:r w:rsidR="00565345" w:rsidRPr="0084348B">
          <w:rPr>
            <w:rStyle w:val="Hipervnculo"/>
            <w:sz w:val="20"/>
            <w:szCs w:val="20"/>
          </w:rPr>
          <w:t xml:space="preserve">DOG Núm 2 </w:t>
        </w:r>
      </w:hyperlink>
      <w:r w:rsidR="0084348B">
        <w:rPr>
          <w:rStyle w:val="Refdenotaalpie"/>
          <w:sz w:val="20"/>
          <w:szCs w:val="20"/>
        </w:rPr>
        <w:footnoteReference w:id="14"/>
      </w:r>
      <w:r w:rsidR="00565345" w:rsidRPr="0084348B">
        <w:rPr>
          <w:sz w:val="20"/>
          <w:szCs w:val="20"/>
        </w:rPr>
        <w:t xml:space="preserve"> -  Venres, 03 de xaneiro de 2003  -  páx. 77</w:t>
      </w:r>
    </w:p>
    <w:p w14:paraId="33EA384D" w14:textId="77777777" w:rsidR="00565345" w:rsidRPr="0084348B" w:rsidRDefault="00565345" w:rsidP="0084348B">
      <w:pPr>
        <w:ind w:left="708"/>
        <w:rPr>
          <w:sz w:val="20"/>
          <w:szCs w:val="20"/>
        </w:rPr>
      </w:pPr>
      <w:r w:rsidRPr="0084348B">
        <w:rPr>
          <w:sz w:val="20"/>
          <w:szCs w:val="20"/>
        </w:rPr>
        <w:t>Resolución do 20 de decembro de 2002, Da Dirección Xeral de Industria, Enerxía e Minas, pola que se ordena a publicación, no Diario Oficial de Galicia, do acordo do Consello da Xunta de Galicia do 5 de decembro de 2002, polo que se aproba definitivamente a modificación do proxecto sectorial de incidencia supramunicipal do Plan Eólico de Galicia.</w:t>
      </w:r>
    </w:p>
    <w:p w14:paraId="3B7EA988" w14:textId="77777777" w:rsidR="00565345" w:rsidRPr="00D44D88" w:rsidRDefault="00565345" w:rsidP="00246A53">
      <w:pPr>
        <w:pStyle w:val="Standard"/>
        <w:widowControl w:val="0"/>
        <w:numPr>
          <w:ilvl w:val="0"/>
          <w:numId w:val="14"/>
        </w:numPr>
        <w:spacing w:before="120" w:after="113"/>
        <w:ind w:hanging="283"/>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Naquel entón estaban en vigor as seguintes normas de Avaliación Ambiental de Proxectos:</w:t>
      </w:r>
    </w:p>
    <w:p w14:paraId="053A8BCB" w14:textId="3A3B770C" w:rsidR="00565345" w:rsidRPr="00D44D88" w:rsidRDefault="00565345" w:rsidP="00246A53">
      <w:pPr>
        <w:pStyle w:val="Standard"/>
        <w:widowControl w:val="0"/>
        <w:numPr>
          <w:ilvl w:val="1"/>
          <w:numId w:val="15"/>
        </w:numPr>
        <w:spacing w:before="120" w:after="57"/>
        <w:ind w:left="850" w:hanging="283"/>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Directiva 85/337/CEE, modificada pola Directiva 97/11/CEE. Os parques eólicos seguían figurando no Anexo II,</w:t>
      </w:r>
      <w:r w:rsidR="001C47E9">
        <w:rPr>
          <w:rFonts w:asciiTheme="minorHAnsi" w:eastAsia="Calibri" w:hAnsiTheme="minorHAnsi" w:cstheme="minorHAnsi"/>
          <w:color w:val="000000"/>
        </w:rPr>
        <w:t xml:space="preserve"> grupo 3.- a</w:t>
      </w:r>
      <w:r w:rsidRPr="00D44D88">
        <w:rPr>
          <w:rFonts w:asciiTheme="minorHAnsi" w:eastAsia="Calibri" w:hAnsiTheme="minorHAnsi" w:cstheme="minorHAnsi"/>
          <w:color w:val="000000"/>
        </w:rPr>
        <w:t>) da norma.</w:t>
      </w:r>
    </w:p>
    <w:p w14:paraId="3211A5DE" w14:textId="05619221" w:rsidR="00565345" w:rsidRPr="00D44D88" w:rsidRDefault="00565345" w:rsidP="00246A53">
      <w:pPr>
        <w:pStyle w:val="Standard"/>
        <w:widowControl w:val="0"/>
        <w:numPr>
          <w:ilvl w:val="1"/>
          <w:numId w:val="15"/>
        </w:numPr>
        <w:spacing w:before="120" w:after="170"/>
        <w:ind w:left="850" w:hanging="283"/>
        <w:jc w:val="both"/>
        <w:textAlignment w:val="auto"/>
        <w:rPr>
          <w:rFonts w:asciiTheme="minorHAnsi" w:eastAsia="Andale Sans UI" w:hAnsiTheme="minorHAnsi" w:cstheme="minorHAnsi"/>
        </w:rPr>
      </w:pPr>
      <w:r w:rsidRPr="00D44D88">
        <w:rPr>
          <w:rFonts w:asciiTheme="minorHAnsi" w:eastAsia="Calibri" w:hAnsiTheme="minorHAnsi" w:cstheme="minorHAnsi"/>
          <w:color w:val="000000"/>
          <w:spacing w:val="-2"/>
        </w:rPr>
        <w:t>RDLex 13</w:t>
      </w:r>
      <w:r w:rsidR="001C47E9">
        <w:rPr>
          <w:rFonts w:asciiTheme="minorHAnsi" w:eastAsia="Calibri" w:hAnsiTheme="minorHAnsi" w:cstheme="minorHAnsi"/>
          <w:color w:val="000000"/>
          <w:spacing w:val="-2"/>
        </w:rPr>
        <w:t>0</w:t>
      </w:r>
      <w:r w:rsidRPr="00D44D88">
        <w:rPr>
          <w:rFonts w:asciiTheme="minorHAnsi" w:eastAsia="Calibri" w:hAnsiTheme="minorHAnsi" w:cstheme="minorHAnsi"/>
          <w:color w:val="000000"/>
          <w:spacing w:val="-2"/>
        </w:rPr>
        <w:t xml:space="preserve">2/1986, modificado pola </w:t>
      </w:r>
      <w:hyperlink r:id="rId27" w:history="1">
        <w:r w:rsidRPr="009D1ABB">
          <w:rPr>
            <w:rStyle w:val="Hipervnculo"/>
            <w:rFonts w:asciiTheme="minorHAnsi" w:eastAsia="Calibri" w:hAnsiTheme="minorHAnsi" w:cstheme="minorHAnsi"/>
            <w:spacing w:val="-2"/>
          </w:rPr>
          <w:t>Lei 6/2001</w:t>
        </w:r>
      </w:hyperlink>
      <w:r w:rsidR="009D1ABB">
        <w:rPr>
          <w:rStyle w:val="Refdenotaalpie"/>
          <w:rFonts w:asciiTheme="minorHAnsi" w:eastAsia="Calibri" w:hAnsiTheme="minorHAnsi"/>
          <w:spacing w:val="-2"/>
        </w:rPr>
        <w:footnoteReference w:id="15"/>
      </w:r>
      <w:r w:rsidRPr="00D44D88">
        <w:rPr>
          <w:rFonts w:asciiTheme="minorHAnsi" w:eastAsia="Calibri" w:hAnsiTheme="minorHAnsi" w:cstheme="minorHAnsi"/>
          <w:spacing w:val="-2"/>
        </w:rPr>
        <w:t xml:space="preserve">. Os parques eólicos figuraban no Anexo I, Grupo 3,- </w:t>
      </w:r>
      <w:r w:rsidR="001C47E9">
        <w:rPr>
          <w:rFonts w:asciiTheme="minorHAnsi" w:eastAsia="Calibri" w:hAnsiTheme="minorHAnsi" w:cstheme="minorHAnsi"/>
          <w:spacing w:val="-2"/>
        </w:rPr>
        <w:t>i</w:t>
      </w:r>
      <w:r w:rsidRPr="00D44D88">
        <w:rPr>
          <w:rFonts w:asciiTheme="minorHAnsi" w:eastAsia="Calibri" w:hAnsiTheme="minorHAnsi" w:cstheme="minorHAnsi"/>
          <w:spacing w:val="-2"/>
        </w:rPr>
        <w:t>) e no Anexo II, Grupo 4.- h) d</w:t>
      </w:r>
      <w:r w:rsidR="009D1ABB">
        <w:rPr>
          <w:rFonts w:asciiTheme="minorHAnsi" w:eastAsia="Calibri" w:hAnsiTheme="minorHAnsi" w:cstheme="minorHAnsi"/>
          <w:spacing w:val="-2"/>
        </w:rPr>
        <w:t>a Ñei 6/2001</w:t>
      </w:r>
      <w:r w:rsidRPr="00D44D88">
        <w:rPr>
          <w:rFonts w:asciiTheme="minorHAnsi" w:eastAsia="Calibri" w:hAnsiTheme="minorHAnsi" w:cstheme="minorHAnsi"/>
          <w:i/>
          <w:iCs/>
        </w:rPr>
        <w:t>.</w:t>
      </w:r>
    </w:p>
    <w:p w14:paraId="6A14F52F" w14:textId="77777777" w:rsidR="00565345" w:rsidRPr="00D44D88" w:rsidRDefault="00565345" w:rsidP="00D44D88">
      <w:pPr>
        <w:pStyle w:val="Standard"/>
        <w:spacing w:before="120" w:after="113"/>
        <w:ind w:left="283" w:hanging="283"/>
        <w:jc w:val="both"/>
        <w:rPr>
          <w:rFonts w:asciiTheme="minorHAnsi" w:eastAsia="Calibri" w:hAnsiTheme="minorHAnsi" w:cstheme="minorHAnsi"/>
          <w:b/>
          <w:color w:val="000000"/>
        </w:rPr>
      </w:pPr>
      <w:r w:rsidRPr="00D44D88">
        <w:rPr>
          <w:rFonts w:asciiTheme="minorHAnsi" w:eastAsia="Calibri" w:hAnsiTheme="minorHAnsi" w:cstheme="minorHAnsi"/>
          <w:b/>
          <w:bCs/>
          <w:color w:val="000000"/>
        </w:rPr>
        <w:t>4)</w:t>
      </w:r>
      <w:r w:rsidRPr="00D44D88">
        <w:rPr>
          <w:rFonts w:asciiTheme="minorHAnsi" w:eastAsia="Calibri" w:hAnsiTheme="minorHAnsi" w:cstheme="minorHAnsi"/>
          <w:color w:val="000000"/>
        </w:rPr>
        <w:tab/>
        <w:t>A Directiva 85/337/CEE, de Avaliación Ambiental, estableceu unha definición de Proxecto que se mantivo no tempo e perdura na actual Directiva 2011/92/UE:</w:t>
      </w:r>
    </w:p>
    <w:p w14:paraId="410F0D7A" w14:textId="77777777" w:rsidR="00565345" w:rsidRPr="00472513" w:rsidRDefault="00565345" w:rsidP="00472513">
      <w:pPr>
        <w:pStyle w:val="Standard"/>
        <w:spacing w:before="120" w:after="57"/>
        <w:ind w:left="708"/>
        <w:jc w:val="both"/>
        <w:rPr>
          <w:rFonts w:asciiTheme="minorHAnsi" w:eastAsia="Calibri" w:hAnsiTheme="minorHAnsi" w:cstheme="minorHAnsi"/>
          <w:b/>
          <w:i/>
          <w:iCs/>
          <w:color w:val="000000"/>
          <w:sz w:val="20"/>
          <w:szCs w:val="20"/>
        </w:rPr>
      </w:pPr>
      <w:r w:rsidRPr="00472513">
        <w:rPr>
          <w:rFonts w:asciiTheme="minorHAnsi" w:eastAsia="Calibri" w:hAnsiTheme="minorHAnsi" w:cstheme="minorHAnsi"/>
          <w:b/>
          <w:i/>
          <w:iCs/>
          <w:color w:val="000000"/>
          <w:sz w:val="20"/>
          <w:szCs w:val="20"/>
        </w:rPr>
        <w:t>Artículo 1</w:t>
      </w:r>
    </w:p>
    <w:p w14:paraId="7984CF64" w14:textId="77777777" w:rsidR="00565345" w:rsidRPr="00472513" w:rsidRDefault="00565345" w:rsidP="00472513">
      <w:pPr>
        <w:pStyle w:val="Standard"/>
        <w:spacing w:before="120" w:after="57"/>
        <w:ind w:left="708"/>
        <w:jc w:val="both"/>
        <w:rPr>
          <w:rFonts w:asciiTheme="minorHAnsi" w:eastAsia="Andale Sans UI" w:hAnsiTheme="minorHAnsi" w:cstheme="minorHAnsi"/>
          <w:i/>
          <w:iCs/>
          <w:sz w:val="20"/>
          <w:szCs w:val="20"/>
        </w:rPr>
      </w:pPr>
      <w:r w:rsidRPr="00472513">
        <w:rPr>
          <w:rFonts w:asciiTheme="minorHAnsi" w:eastAsia="Calibri" w:hAnsiTheme="minorHAnsi" w:cstheme="minorHAnsi"/>
          <w:i/>
          <w:iCs/>
          <w:color w:val="000000"/>
          <w:sz w:val="20"/>
          <w:szCs w:val="20"/>
        </w:rPr>
        <w:lastRenderedPageBreak/>
        <w:t xml:space="preserve">2 . Con arreglo a la presente Directiva, se entenderá </w:t>
      </w:r>
      <w:r w:rsidRPr="00472513">
        <w:rPr>
          <w:rFonts w:asciiTheme="minorHAnsi" w:hAnsiTheme="minorHAnsi" w:cstheme="minorHAnsi"/>
          <w:i/>
          <w:iCs/>
          <w:sz w:val="20"/>
          <w:szCs w:val="20"/>
        </w:rPr>
        <w:t>por:</w:t>
      </w:r>
    </w:p>
    <w:p w14:paraId="771539DE" w14:textId="77777777" w:rsidR="00565345" w:rsidRPr="00472513" w:rsidRDefault="00565345" w:rsidP="00472513">
      <w:pPr>
        <w:pStyle w:val="Standard"/>
        <w:spacing w:before="120" w:after="57"/>
        <w:ind w:left="991"/>
        <w:jc w:val="both"/>
        <w:rPr>
          <w:rFonts w:asciiTheme="minorHAnsi" w:hAnsiTheme="minorHAnsi" w:cstheme="minorHAnsi"/>
          <w:i/>
          <w:iCs/>
          <w:sz w:val="20"/>
          <w:szCs w:val="20"/>
        </w:rPr>
      </w:pPr>
      <w:r w:rsidRPr="00472513">
        <w:rPr>
          <w:rFonts w:asciiTheme="minorHAnsi" w:hAnsiTheme="minorHAnsi" w:cstheme="minorHAnsi"/>
          <w:i/>
          <w:iCs/>
          <w:sz w:val="20"/>
          <w:szCs w:val="20"/>
        </w:rPr>
        <w:t>proyecto:</w:t>
      </w:r>
    </w:p>
    <w:p w14:paraId="0459F44F" w14:textId="77777777" w:rsidR="00565345" w:rsidRPr="00472513" w:rsidRDefault="00565345" w:rsidP="00472513">
      <w:pPr>
        <w:pStyle w:val="Standard"/>
        <w:spacing w:before="120" w:after="57"/>
        <w:ind w:left="1275" w:hanging="283"/>
        <w:jc w:val="both"/>
        <w:rPr>
          <w:rFonts w:asciiTheme="minorHAnsi" w:hAnsiTheme="minorHAnsi" w:cstheme="minorHAnsi"/>
          <w:i/>
          <w:iCs/>
          <w:sz w:val="20"/>
          <w:szCs w:val="20"/>
        </w:rPr>
      </w:pPr>
      <w:r w:rsidRPr="00472513">
        <w:rPr>
          <w:rFonts w:asciiTheme="minorHAnsi" w:hAnsiTheme="minorHAnsi" w:cstheme="minorHAnsi"/>
          <w:i/>
          <w:iCs/>
          <w:sz w:val="20"/>
          <w:szCs w:val="20"/>
        </w:rPr>
        <w:t>—</w:t>
      </w:r>
      <w:r w:rsidRPr="00472513">
        <w:rPr>
          <w:rFonts w:asciiTheme="minorHAnsi" w:hAnsiTheme="minorHAnsi" w:cstheme="minorHAnsi"/>
          <w:i/>
          <w:iCs/>
          <w:sz w:val="20"/>
          <w:szCs w:val="20"/>
        </w:rPr>
        <w:tab/>
        <w:t>La realización de trabajos de construcción o de otras instalaciones u obras,</w:t>
      </w:r>
    </w:p>
    <w:p w14:paraId="09FE3B84" w14:textId="77777777" w:rsidR="00565345" w:rsidRPr="00472513" w:rsidRDefault="00565345" w:rsidP="00472513">
      <w:pPr>
        <w:pStyle w:val="Standard"/>
        <w:spacing w:before="120"/>
        <w:ind w:left="1275" w:hanging="283"/>
        <w:jc w:val="both"/>
        <w:rPr>
          <w:rFonts w:asciiTheme="minorHAnsi" w:hAnsiTheme="minorHAnsi" w:cstheme="minorHAnsi"/>
          <w:sz w:val="20"/>
          <w:szCs w:val="20"/>
        </w:rPr>
      </w:pPr>
      <w:r w:rsidRPr="00472513">
        <w:rPr>
          <w:rFonts w:asciiTheme="minorHAnsi" w:hAnsiTheme="minorHAnsi" w:cstheme="minorHAnsi"/>
          <w:i/>
          <w:iCs/>
          <w:sz w:val="20"/>
          <w:szCs w:val="20"/>
        </w:rPr>
        <w:t>—</w:t>
      </w:r>
      <w:r w:rsidRPr="00472513">
        <w:rPr>
          <w:rFonts w:asciiTheme="minorHAnsi" w:hAnsiTheme="minorHAnsi" w:cstheme="minorHAnsi"/>
          <w:i/>
          <w:iCs/>
          <w:sz w:val="20"/>
          <w:szCs w:val="20"/>
        </w:rPr>
        <w:tab/>
      </w:r>
      <w:r w:rsidRPr="00472513">
        <w:rPr>
          <w:rFonts w:asciiTheme="minorHAnsi" w:hAnsiTheme="minorHAnsi" w:cstheme="minorHAnsi"/>
          <w:i/>
          <w:iCs/>
          <w:spacing w:val="2"/>
          <w:sz w:val="20"/>
          <w:szCs w:val="20"/>
        </w:rPr>
        <w:t xml:space="preserve">Otras intervenciones en el medio natural o el paisaje, incluidas las destinadas a la explotación de los recursos </w:t>
      </w:r>
      <w:r w:rsidRPr="00472513">
        <w:rPr>
          <w:rFonts w:asciiTheme="minorHAnsi" w:eastAsia="Calibri" w:hAnsiTheme="minorHAnsi" w:cstheme="minorHAnsi"/>
          <w:i/>
          <w:iCs/>
          <w:color w:val="000000"/>
          <w:spacing w:val="2"/>
          <w:sz w:val="20"/>
          <w:szCs w:val="20"/>
        </w:rPr>
        <w:t>del suelo</w:t>
      </w:r>
      <w:r w:rsidRPr="00472513">
        <w:rPr>
          <w:rFonts w:asciiTheme="minorHAnsi" w:eastAsia="Calibri" w:hAnsiTheme="minorHAnsi" w:cstheme="minorHAnsi"/>
          <w:i/>
          <w:iCs/>
          <w:color w:val="000000"/>
          <w:sz w:val="20"/>
          <w:szCs w:val="20"/>
        </w:rPr>
        <w:t>.</w:t>
      </w:r>
    </w:p>
    <w:p w14:paraId="793DEEFF" w14:textId="7F317DD1" w:rsidR="00565345" w:rsidRPr="009D1ABB" w:rsidRDefault="009D1ABB" w:rsidP="009D1ABB">
      <w:pPr>
        <w:pStyle w:val="Standard"/>
        <w:spacing w:before="120"/>
        <w:ind w:left="284"/>
        <w:jc w:val="both"/>
        <w:rPr>
          <w:rFonts w:asciiTheme="minorHAnsi" w:eastAsia="Calibri" w:hAnsiTheme="minorHAnsi" w:cstheme="minorHAnsi"/>
          <w:iCs/>
          <w:color w:val="000000"/>
        </w:rPr>
      </w:pPr>
      <w:r>
        <w:rPr>
          <w:rFonts w:asciiTheme="minorHAnsi" w:eastAsia="Calibri" w:hAnsiTheme="minorHAnsi" w:cstheme="minorHAnsi"/>
          <w:iCs/>
          <w:color w:val="000000"/>
        </w:rPr>
        <w:t xml:space="preserve">Lembremos que o PSEG foi tramitado e aprobado, xunto coa súa modificación, como </w:t>
      </w:r>
      <w:r w:rsidRPr="009D1ABB">
        <w:rPr>
          <w:rFonts w:asciiTheme="minorHAnsi" w:eastAsia="Calibri" w:hAnsiTheme="minorHAnsi" w:cstheme="minorHAnsi"/>
          <w:i/>
          <w:iCs/>
          <w:color w:val="000000"/>
        </w:rPr>
        <w:t>“</w:t>
      </w:r>
      <w:r w:rsidRPr="00715D46">
        <w:rPr>
          <w:rFonts w:asciiTheme="minorHAnsi" w:eastAsia="Calibri" w:hAnsiTheme="minorHAnsi" w:cstheme="minorHAnsi"/>
          <w:b/>
          <w:i/>
          <w:iCs/>
          <w:color w:val="000000"/>
          <w:u w:val="single"/>
        </w:rPr>
        <w:t>Proxecto</w:t>
      </w:r>
      <w:r w:rsidRPr="009D1ABB">
        <w:rPr>
          <w:rFonts w:asciiTheme="minorHAnsi" w:eastAsia="Calibri" w:hAnsiTheme="minorHAnsi" w:cstheme="minorHAnsi"/>
          <w:i/>
          <w:iCs/>
          <w:color w:val="000000"/>
        </w:rPr>
        <w:t xml:space="preserve"> sectorial de indidencia supramunicipal.”</w:t>
      </w:r>
    </w:p>
    <w:p w14:paraId="5806A7BE" w14:textId="79B167CA" w:rsidR="00565345" w:rsidRPr="00D44D88" w:rsidRDefault="00565345" w:rsidP="00D44D88">
      <w:pPr>
        <w:pStyle w:val="Standard"/>
        <w:spacing w:before="120" w:after="113"/>
        <w:ind w:left="283" w:hanging="283"/>
        <w:jc w:val="both"/>
        <w:rPr>
          <w:rFonts w:asciiTheme="minorHAnsi" w:eastAsia="Calibri" w:hAnsiTheme="minorHAnsi" w:cstheme="minorHAnsi"/>
          <w:color w:val="000000"/>
          <w:spacing w:val="-2"/>
        </w:rPr>
      </w:pPr>
      <w:r w:rsidRPr="00D44D88">
        <w:rPr>
          <w:rFonts w:asciiTheme="minorHAnsi" w:eastAsia="Calibri" w:hAnsiTheme="minorHAnsi" w:cstheme="minorHAnsi"/>
          <w:b/>
          <w:bCs/>
          <w:color w:val="000000"/>
        </w:rPr>
        <w:t>5)</w:t>
      </w:r>
      <w:r w:rsidRPr="00D44D88">
        <w:rPr>
          <w:rFonts w:asciiTheme="minorHAnsi" w:eastAsia="Calibri" w:hAnsiTheme="minorHAnsi" w:cstheme="minorHAnsi"/>
          <w:color w:val="000000"/>
        </w:rPr>
        <w:tab/>
        <w:t xml:space="preserve">As sucesivas transposicións españolas das Directivas de AIA obviaron a definición de proxecto ata a entrada en vigor da </w:t>
      </w:r>
      <w:r w:rsidRPr="00D44D88">
        <w:rPr>
          <w:rFonts w:asciiTheme="minorHAnsi" w:eastAsia="Calibri" w:hAnsiTheme="minorHAnsi" w:cstheme="minorHAnsi"/>
          <w:i/>
          <w:iCs/>
          <w:color w:val="000000"/>
        </w:rPr>
        <w:t>Lei 21/2013, de Evaluación Ambiental</w:t>
      </w:r>
      <w:r w:rsidRPr="00D44D88">
        <w:rPr>
          <w:rFonts w:asciiTheme="minorHAnsi" w:eastAsia="Calibri" w:hAnsiTheme="minorHAnsi" w:cstheme="minorHAnsi"/>
          <w:color w:val="000000"/>
        </w:rPr>
        <w:t>, que adoptou a definición e ampli</w:t>
      </w:r>
      <w:r w:rsidR="0084348B">
        <w:rPr>
          <w:rFonts w:asciiTheme="minorHAnsi" w:eastAsia="Calibri" w:hAnsiTheme="minorHAnsi" w:cstheme="minorHAnsi"/>
          <w:color w:val="000000"/>
        </w:rPr>
        <w:t>ó</w:t>
      </w:r>
      <w:r w:rsidRPr="00D44D88">
        <w:rPr>
          <w:rFonts w:asciiTheme="minorHAnsi" w:eastAsia="Calibri" w:hAnsiTheme="minorHAnsi" w:cstheme="minorHAnsi"/>
          <w:color w:val="000000"/>
        </w:rPr>
        <w:t>una :</w:t>
      </w:r>
    </w:p>
    <w:p w14:paraId="125E0EA6" w14:textId="77777777" w:rsidR="00565345" w:rsidRPr="00472513" w:rsidRDefault="00565345" w:rsidP="00472513">
      <w:pPr>
        <w:pStyle w:val="Standard"/>
        <w:spacing w:before="120" w:after="57"/>
        <w:ind w:left="849" w:hanging="283"/>
        <w:jc w:val="both"/>
        <w:rPr>
          <w:rFonts w:asciiTheme="minorHAnsi" w:eastAsia="Calibri" w:hAnsiTheme="minorHAnsi" w:cstheme="minorHAnsi"/>
          <w:b/>
          <w:i/>
          <w:iCs/>
          <w:color w:val="000000"/>
          <w:spacing w:val="-2"/>
          <w:sz w:val="20"/>
          <w:szCs w:val="20"/>
        </w:rPr>
      </w:pPr>
      <w:r w:rsidRPr="00472513">
        <w:rPr>
          <w:rFonts w:asciiTheme="minorHAnsi" w:eastAsia="Calibri" w:hAnsiTheme="minorHAnsi" w:cstheme="minorHAnsi"/>
          <w:b/>
          <w:bCs/>
          <w:i/>
          <w:iCs/>
          <w:color w:val="000000"/>
          <w:spacing w:val="-2"/>
          <w:sz w:val="20"/>
          <w:szCs w:val="20"/>
        </w:rPr>
        <w:t>Artículo 5. Definiciones.</w:t>
      </w:r>
    </w:p>
    <w:p w14:paraId="3D64BBFD" w14:textId="77777777" w:rsidR="00565345" w:rsidRPr="00472513" w:rsidRDefault="00565345" w:rsidP="00472513">
      <w:pPr>
        <w:pStyle w:val="Standard"/>
        <w:spacing w:before="120" w:after="57"/>
        <w:ind w:left="1132" w:hanging="283"/>
        <w:jc w:val="both"/>
        <w:rPr>
          <w:rFonts w:asciiTheme="minorHAnsi" w:eastAsia="Calibri" w:hAnsiTheme="minorHAnsi" w:cstheme="minorHAnsi"/>
          <w:b/>
          <w:i/>
          <w:iCs/>
          <w:color w:val="000000"/>
          <w:spacing w:val="-2"/>
          <w:sz w:val="20"/>
          <w:szCs w:val="20"/>
        </w:rPr>
      </w:pPr>
      <w:r w:rsidRPr="00472513">
        <w:rPr>
          <w:rFonts w:asciiTheme="minorHAnsi" w:eastAsia="Calibri" w:hAnsiTheme="minorHAnsi" w:cstheme="minorHAnsi"/>
          <w:b/>
          <w:bCs/>
          <w:i/>
          <w:iCs/>
          <w:color w:val="000000"/>
          <w:spacing w:val="-2"/>
          <w:sz w:val="20"/>
          <w:szCs w:val="20"/>
        </w:rPr>
        <w:t>3)</w:t>
      </w:r>
      <w:r w:rsidRPr="00472513">
        <w:rPr>
          <w:rFonts w:asciiTheme="minorHAnsi" w:eastAsia="Calibri" w:hAnsiTheme="minorHAnsi" w:cstheme="minorHAnsi"/>
          <w:b/>
          <w:bCs/>
          <w:i/>
          <w:iCs/>
          <w:color w:val="000000"/>
          <w:spacing w:val="-2"/>
          <w:sz w:val="20"/>
          <w:szCs w:val="20"/>
        </w:rPr>
        <w:tab/>
      </w:r>
      <w:r w:rsidRPr="00472513">
        <w:rPr>
          <w:rFonts w:asciiTheme="minorHAnsi" w:eastAsia="Calibri" w:hAnsiTheme="minorHAnsi" w:cstheme="minorHAnsi"/>
          <w:i/>
          <w:iCs/>
          <w:color w:val="000000"/>
          <w:spacing w:val="-2"/>
          <w:sz w:val="20"/>
          <w:szCs w:val="20"/>
        </w:rPr>
        <w:t>A los efectos de la Evaluación de Impacto Ambiental de proyectos se entenderá por:</w:t>
      </w:r>
    </w:p>
    <w:p w14:paraId="5C8CAFE7" w14:textId="77777777" w:rsidR="00565345" w:rsidRPr="00472513" w:rsidRDefault="00565345" w:rsidP="00472513">
      <w:pPr>
        <w:pStyle w:val="Standard"/>
        <w:spacing w:before="120" w:after="57"/>
        <w:ind w:left="1132" w:hanging="283"/>
        <w:jc w:val="both"/>
        <w:rPr>
          <w:rFonts w:asciiTheme="minorHAnsi" w:eastAsia="Calibri" w:hAnsiTheme="minorHAnsi" w:cstheme="minorHAnsi"/>
          <w:b/>
          <w:color w:val="000000"/>
          <w:spacing w:val="-2"/>
          <w:sz w:val="20"/>
          <w:szCs w:val="20"/>
        </w:rPr>
      </w:pPr>
      <w:r w:rsidRPr="00472513">
        <w:rPr>
          <w:rFonts w:asciiTheme="minorHAnsi" w:eastAsia="Calibri" w:hAnsiTheme="minorHAnsi" w:cstheme="minorHAnsi"/>
          <w:b/>
          <w:bCs/>
          <w:i/>
          <w:iCs/>
          <w:color w:val="000000"/>
          <w:spacing w:val="-2"/>
          <w:sz w:val="20"/>
          <w:szCs w:val="20"/>
        </w:rPr>
        <w:t>b)</w:t>
      </w:r>
      <w:r w:rsidRPr="00472513">
        <w:rPr>
          <w:rFonts w:asciiTheme="minorHAnsi" w:eastAsia="Calibri" w:hAnsiTheme="minorHAnsi" w:cstheme="minorHAnsi"/>
          <w:i/>
          <w:iCs/>
          <w:color w:val="000000"/>
          <w:spacing w:val="-2"/>
          <w:sz w:val="20"/>
          <w:szCs w:val="20"/>
        </w:rPr>
        <w:tab/>
        <w:t>“Proyecto”: cualquier actuación prevista que consista en:</w:t>
      </w:r>
    </w:p>
    <w:p w14:paraId="1C450657" w14:textId="77777777" w:rsidR="00565345" w:rsidRPr="00472513" w:rsidRDefault="00565345" w:rsidP="00472513">
      <w:pPr>
        <w:pStyle w:val="Standard"/>
        <w:tabs>
          <w:tab w:val="right" w:leader="dot" w:pos="10545"/>
        </w:tabs>
        <w:spacing w:before="120" w:after="57"/>
        <w:ind w:left="1190" w:hanging="340"/>
        <w:rPr>
          <w:rFonts w:asciiTheme="minorHAnsi" w:eastAsia="Andale Sans UI" w:hAnsiTheme="minorHAnsi" w:cstheme="minorHAnsi"/>
          <w:i/>
          <w:iCs/>
          <w:sz w:val="20"/>
          <w:szCs w:val="20"/>
        </w:rPr>
      </w:pPr>
      <w:r w:rsidRPr="00472513">
        <w:rPr>
          <w:rFonts w:asciiTheme="minorHAnsi" w:hAnsiTheme="minorHAnsi" w:cstheme="minorHAnsi"/>
          <w:i/>
          <w:iCs/>
          <w:sz w:val="20"/>
          <w:szCs w:val="20"/>
        </w:rPr>
        <w:t>1º.</w:t>
      </w:r>
      <w:r w:rsidRPr="00472513">
        <w:rPr>
          <w:rFonts w:asciiTheme="minorHAnsi" w:hAnsiTheme="minorHAnsi" w:cstheme="minorHAnsi"/>
          <w:i/>
          <w:iCs/>
          <w:sz w:val="20"/>
          <w:szCs w:val="20"/>
        </w:rPr>
        <w:tab/>
        <w:t>l</w:t>
      </w:r>
      <w:r w:rsidRPr="00472513">
        <w:rPr>
          <w:rFonts w:asciiTheme="minorHAnsi" w:hAnsiTheme="minorHAnsi" w:cstheme="minorHAnsi"/>
          <w:i/>
          <w:iCs/>
          <w:spacing w:val="-4"/>
          <w:w w:val="98"/>
          <w:sz w:val="20"/>
          <w:szCs w:val="20"/>
        </w:rPr>
        <w:t>a ejecución, explotación, desmantelamiento o demolición de una obra, construcción o instalación,</w:t>
      </w:r>
      <w:r w:rsidRPr="00472513">
        <w:rPr>
          <w:rFonts w:asciiTheme="minorHAnsi" w:hAnsiTheme="minorHAnsi" w:cstheme="minorHAnsi"/>
          <w:spacing w:val="-4"/>
          <w:w w:val="98"/>
          <w:sz w:val="20"/>
          <w:szCs w:val="20"/>
        </w:rPr>
        <w:t xml:space="preserve"> o bien</w:t>
      </w:r>
    </w:p>
    <w:p w14:paraId="1F10EDC8" w14:textId="77777777" w:rsidR="00565345" w:rsidRPr="00472513" w:rsidRDefault="00565345" w:rsidP="00472513">
      <w:pPr>
        <w:pStyle w:val="Standard"/>
        <w:spacing w:before="120" w:after="170"/>
        <w:ind w:left="1190" w:hanging="340"/>
        <w:jc w:val="both"/>
        <w:rPr>
          <w:rFonts w:asciiTheme="minorHAnsi" w:hAnsiTheme="minorHAnsi" w:cstheme="minorHAnsi"/>
          <w:sz w:val="20"/>
          <w:szCs w:val="20"/>
        </w:rPr>
      </w:pPr>
      <w:r w:rsidRPr="00472513">
        <w:rPr>
          <w:rFonts w:asciiTheme="minorHAnsi" w:hAnsiTheme="minorHAnsi" w:cstheme="minorHAnsi"/>
          <w:i/>
          <w:iCs/>
          <w:sz w:val="20"/>
          <w:szCs w:val="20"/>
        </w:rPr>
        <w:t>2º.</w:t>
      </w:r>
      <w:r w:rsidRPr="00472513">
        <w:rPr>
          <w:rFonts w:asciiTheme="minorHAnsi" w:hAnsiTheme="minorHAnsi" w:cstheme="minorHAnsi"/>
          <w:i/>
          <w:iCs/>
          <w:sz w:val="20"/>
          <w:szCs w:val="20"/>
        </w:rPr>
        <w:tab/>
      </w:r>
      <w:r w:rsidRPr="00472513">
        <w:rPr>
          <w:rFonts w:asciiTheme="minorHAnsi" w:hAnsiTheme="minorHAnsi" w:cstheme="minorHAnsi"/>
          <w:i/>
          <w:iCs/>
          <w:spacing w:val="-2"/>
          <w:sz w:val="20"/>
          <w:szCs w:val="20"/>
        </w:rPr>
        <w:t xml:space="preserve">cualquier intervención en el medio natural o en el paisaje, incluidas las destinadas a la explotación o al aprovechamiento de los recursos naturales o del suelo y del subsuelo, así </w:t>
      </w:r>
      <w:r w:rsidRPr="00472513">
        <w:rPr>
          <w:rFonts w:asciiTheme="minorHAnsi" w:eastAsia="Calibri" w:hAnsiTheme="minorHAnsi" w:cstheme="minorHAnsi"/>
          <w:i/>
          <w:iCs/>
          <w:color w:val="000000"/>
          <w:spacing w:val="-2"/>
          <w:sz w:val="20"/>
          <w:szCs w:val="20"/>
        </w:rPr>
        <w:t>como de las aguas continentales o marinas.</w:t>
      </w:r>
    </w:p>
    <w:p w14:paraId="5B3386DA" w14:textId="536F911F" w:rsidR="0017474E" w:rsidRDefault="00565345" w:rsidP="00D44D88">
      <w:pPr>
        <w:pStyle w:val="Standard"/>
        <w:spacing w:before="120" w:after="113"/>
        <w:ind w:left="283" w:hanging="283"/>
        <w:jc w:val="both"/>
        <w:rPr>
          <w:rFonts w:asciiTheme="minorHAnsi" w:eastAsia="Calibri" w:hAnsiTheme="minorHAnsi" w:cstheme="minorHAnsi"/>
          <w:bCs/>
          <w:color w:val="000000"/>
        </w:rPr>
      </w:pPr>
      <w:r w:rsidRPr="00D44D88">
        <w:rPr>
          <w:rFonts w:asciiTheme="minorHAnsi" w:eastAsia="Calibri" w:hAnsiTheme="minorHAnsi" w:cstheme="minorHAnsi"/>
          <w:b/>
          <w:bCs/>
          <w:color w:val="000000"/>
        </w:rPr>
        <w:t>6)</w:t>
      </w:r>
      <w:r w:rsidRPr="00D44D88">
        <w:rPr>
          <w:rFonts w:asciiTheme="minorHAnsi" w:eastAsia="Calibri" w:hAnsiTheme="minorHAnsi" w:cstheme="minorHAnsi"/>
          <w:b/>
          <w:bCs/>
          <w:color w:val="000000"/>
        </w:rPr>
        <w:tab/>
      </w:r>
      <w:r w:rsidR="0017474E">
        <w:rPr>
          <w:rFonts w:asciiTheme="minorHAnsi" w:eastAsia="Calibri" w:hAnsiTheme="minorHAnsi" w:cstheme="minorHAnsi"/>
          <w:bCs/>
          <w:color w:val="000000"/>
        </w:rPr>
        <w:t>A errónea transposición da Directiva 85/337/CEE ao RDLex 1302/1986 e ao seu regulamento RDLex 1131/1998, eliminando o artigo 1 da Directiva (definicións), e polo tanto deixando a definición de “proxecto” ao criterio do goberno de turno, así como a eliminación dos parques eólicos do Anexo do RDLex 1302/1986, é a base de toda esta ilegalidade, pero se a esto unimos que estos dous aspectos tampouco foron subsanados na modificación do RDLex 1302/1986 na Lei 6/2001, entón todo conduce a que eses “erros” non foron tales, e que foron así planificados.</w:t>
      </w:r>
    </w:p>
    <w:p w14:paraId="677ED1A5" w14:textId="1459FC5F" w:rsidR="00565345" w:rsidRPr="00D44D88" w:rsidRDefault="00565345" w:rsidP="00220BDD">
      <w:pPr>
        <w:pStyle w:val="Standard"/>
        <w:spacing w:before="120" w:after="113"/>
        <w:ind w:left="283" w:firstLine="1"/>
        <w:jc w:val="both"/>
        <w:rPr>
          <w:rFonts w:asciiTheme="minorHAnsi" w:eastAsia="Calibri" w:hAnsiTheme="minorHAnsi" w:cstheme="minorHAnsi"/>
          <w:color w:val="000000"/>
        </w:rPr>
      </w:pPr>
      <w:r w:rsidRPr="00D44D88">
        <w:rPr>
          <w:rFonts w:asciiTheme="minorHAnsi" w:eastAsia="Calibri" w:hAnsiTheme="minorHAnsi" w:cstheme="minorHAnsi"/>
          <w:color w:val="000000"/>
          <w:spacing w:val="-4"/>
        </w:rPr>
        <w:t>A Xunta de Galicia argúe que os PSEG 1997 e 2002 non tiñan que ser sometidos a Avaliación Ambiental</w:t>
      </w:r>
      <w:r w:rsidRPr="00D44D88">
        <w:rPr>
          <w:rFonts w:asciiTheme="minorHAnsi" w:eastAsia="Calibri" w:hAnsiTheme="minorHAnsi" w:cstheme="minorHAnsi"/>
          <w:color w:val="000000"/>
          <w:spacing w:val="-2"/>
        </w:rPr>
        <w:t>:</w:t>
      </w:r>
    </w:p>
    <w:p w14:paraId="073D856E" w14:textId="6B5826A4" w:rsidR="00565345" w:rsidRPr="00D44D88" w:rsidRDefault="00565345" w:rsidP="00D44D88">
      <w:pPr>
        <w:pStyle w:val="Standard"/>
        <w:spacing w:before="120" w:after="113"/>
        <w:ind w:left="567" w:hanging="283"/>
        <w:jc w:val="both"/>
        <w:rPr>
          <w:rFonts w:asciiTheme="minorHAnsi" w:eastAsia="Calibri" w:hAnsiTheme="minorHAnsi" w:cstheme="minorHAnsi"/>
          <w:color w:val="000000"/>
        </w:rPr>
      </w:pPr>
      <w:r w:rsidRPr="00D44D88">
        <w:rPr>
          <w:rFonts w:asciiTheme="minorHAnsi" w:eastAsia="Calibri" w:hAnsiTheme="minorHAnsi" w:cstheme="minorHAnsi"/>
          <w:color w:val="000000"/>
          <w:spacing w:val="-2"/>
        </w:rPr>
        <w:t>a)</w:t>
      </w:r>
      <w:r w:rsidRPr="00D44D88">
        <w:rPr>
          <w:rFonts w:asciiTheme="minorHAnsi" w:eastAsia="Calibri" w:hAnsiTheme="minorHAnsi" w:cstheme="minorHAnsi"/>
          <w:color w:val="000000"/>
          <w:spacing w:val="-2"/>
        </w:rPr>
        <w:tab/>
        <w:t xml:space="preserve">O texto do PSEG orixinal </w:t>
      </w:r>
      <w:r w:rsidR="00472513">
        <w:rPr>
          <w:rFonts w:asciiTheme="minorHAnsi" w:eastAsia="Calibri" w:hAnsiTheme="minorHAnsi" w:cstheme="minorHAnsi"/>
          <w:color w:val="000000"/>
          <w:spacing w:val="-2"/>
        </w:rPr>
        <w:t xml:space="preserve">de </w:t>
      </w:r>
      <w:r w:rsidRPr="00D44D88">
        <w:rPr>
          <w:rFonts w:asciiTheme="minorHAnsi" w:eastAsia="Calibri" w:hAnsiTheme="minorHAnsi" w:cstheme="minorHAnsi"/>
          <w:color w:val="000000"/>
          <w:spacing w:val="-2"/>
        </w:rPr>
        <w:t>1997 non está dispoñible no portal da Xunta de Galicia. Pero o texto do PSEG modificado</w:t>
      </w:r>
      <w:r w:rsidR="00472513">
        <w:rPr>
          <w:rFonts w:asciiTheme="minorHAnsi" w:eastAsia="Calibri" w:hAnsiTheme="minorHAnsi" w:cstheme="minorHAnsi"/>
          <w:color w:val="000000"/>
          <w:spacing w:val="-2"/>
        </w:rPr>
        <w:t xml:space="preserve"> no</w:t>
      </w:r>
      <w:r w:rsidRPr="00D44D88">
        <w:rPr>
          <w:rFonts w:asciiTheme="minorHAnsi" w:eastAsia="Calibri" w:hAnsiTheme="minorHAnsi" w:cstheme="minorHAnsi"/>
          <w:color w:val="000000"/>
          <w:spacing w:val="-2"/>
        </w:rPr>
        <w:t xml:space="preserve"> 2002, que é o vixente, contén un simple parágrafo no que os redactores declaran que non procedía someter o Plan a Avaliación Ambiental. Enténdese que se refiren á Avaliación de Impacto.</w:t>
      </w:r>
    </w:p>
    <w:p w14:paraId="5E34824F" w14:textId="77777777" w:rsidR="00565345" w:rsidRDefault="00565345" w:rsidP="00D44D88">
      <w:pPr>
        <w:pStyle w:val="Standard"/>
        <w:spacing w:before="120" w:after="113"/>
        <w:ind w:left="566"/>
        <w:jc w:val="both"/>
        <w:rPr>
          <w:rFonts w:asciiTheme="minorHAnsi" w:eastAsia="Calibri" w:hAnsiTheme="minorHAnsi" w:cstheme="minorHAnsi"/>
          <w:color w:val="000000"/>
          <w:spacing w:val="-2"/>
        </w:rPr>
      </w:pPr>
      <w:r w:rsidRPr="00D44D88">
        <w:rPr>
          <w:rFonts w:asciiTheme="minorHAnsi" w:eastAsia="Calibri" w:hAnsiTheme="minorHAnsi" w:cstheme="minorHAnsi"/>
          <w:color w:val="000000"/>
          <w:spacing w:val="-2"/>
        </w:rPr>
        <w:t>Memoria do PSEG, punt</w:t>
      </w:r>
      <w:r w:rsidRPr="00D44D88">
        <w:rPr>
          <w:rFonts w:asciiTheme="minorHAnsi" w:eastAsia="Calibri" w:hAnsiTheme="minorHAnsi" w:cstheme="minorHAnsi"/>
          <w:i/>
          <w:iCs/>
          <w:color w:val="000000"/>
          <w:spacing w:val="-2"/>
        </w:rPr>
        <w:t>o 3.7.1. Estudios de Impacto / Efectos ambientales</w:t>
      </w:r>
      <w:r w:rsidRPr="00D44D88">
        <w:rPr>
          <w:rFonts w:asciiTheme="minorHAnsi" w:eastAsia="Calibri" w:hAnsiTheme="minorHAnsi" w:cstheme="minorHAnsi"/>
          <w:color w:val="000000"/>
          <w:spacing w:val="-2"/>
        </w:rPr>
        <w:t>. (Páxina 72 gráfica = 65 pdf):</w:t>
      </w:r>
    </w:p>
    <w:p w14:paraId="09C1760C" w14:textId="77777777" w:rsidR="00472513" w:rsidRDefault="00472513" w:rsidP="00472513">
      <w:pPr>
        <w:spacing w:before="120" w:after="0" w:line="240" w:lineRule="auto"/>
        <w:ind w:left="849"/>
        <w:jc w:val="both"/>
        <w:rPr>
          <w:sz w:val="18"/>
          <w:szCs w:val="18"/>
        </w:rPr>
      </w:pPr>
      <w:r w:rsidRPr="00BF326E">
        <w:rPr>
          <w:sz w:val="18"/>
          <w:szCs w:val="18"/>
        </w:rPr>
        <w:t xml:space="preserve">“Como quiera que hasta la realización del micrositting, no se conoce la ubicación de los aerogeneradores, que definen la incidencia urbanística del parque eólico, concretando la afección real a los usos del suelo y que la misma representa solamente el 10 % de la incidencia territorial inicial de las áreas de investigación resulta obvio que </w:t>
      </w:r>
      <w:r w:rsidRPr="00BF326E">
        <w:rPr>
          <w:b/>
          <w:sz w:val="18"/>
          <w:szCs w:val="18"/>
          <w:u w:val="single"/>
        </w:rPr>
        <w:t>no procede realizar la evaluación ambiental del presente plan</w:t>
      </w:r>
      <w:r w:rsidRPr="00BF326E">
        <w:rPr>
          <w:sz w:val="18"/>
          <w:szCs w:val="18"/>
        </w:rPr>
        <w:t>, modificación del aprobado el 1 de octubre de 1997”</w:t>
      </w:r>
    </w:p>
    <w:p w14:paraId="54EFACB5" w14:textId="77777777" w:rsidR="00472513" w:rsidRPr="00D44D88" w:rsidRDefault="00472513" w:rsidP="00D44D88">
      <w:pPr>
        <w:pStyle w:val="Standard"/>
        <w:spacing w:before="120" w:after="113"/>
        <w:ind w:left="566"/>
        <w:jc w:val="both"/>
        <w:rPr>
          <w:rFonts w:asciiTheme="minorHAnsi" w:eastAsia="Calibri" w:hAnsiTheme="minorHAnsi" w:cstheme="minorHAnsi"/>
          <w:color w:val="000000"/>
        </w:rPr>
      </w:pPr>
    </w:p>
    <w:p w14:paraId="58506C14" w14:textId="77777777" w:rsidR="00565345" w:rsidRPr="00D44D88" w:rsidRDefault="00565345" w:rsidP="00D44D88">
      <w:pPr>
        <w:pStyle w:val="Standard"/>
        <w:spacing w:before="120" w:after="113"/>
        <w:ind w:left="567" w:hanging="283"/>
        <w:jc w:val="both"/>
        <w:rPr>
          <w:rFonts w:asciiTheme="minorHAnsi" w:eastAsia="Calibri" w:hAnsiTheme="minorHAnsi" w:cstheme="minorHAnsi"/>
          <w:color w:val="000000"/>
          <w:spacing w:val="-2"/>
        </w:rPr>
      </w:pPr>
      <w:r w:rsidRPr="00D44D88">
        <w:rPr>
          <w:rFonts w:asciiTheme="minorHAnsi" w:eastAsia="Calibri" w:hAnsiTheme="minorHAnsi" w:cstheme="minorHAnsi"/>
          <w:color w:val="000000"/>
          <w:spacing w:val="-2"/>
        </w:rPr>
        <w:t>b)</w:t>
      </w:r>
      <w:r w:rsidRPr="00D44D88">
        <w:rPr>
          <w:rFonts w:asciiTheme="minorHAnsi" w:eastAsia="Calibri" w:hAnsiTheme="minorHAnsi" w:cstheme="minorHAnsi"/>
          <w:color w:val="000000"/>
          <w:spacing w:val="-2"/>
        </w:rPr>
        <w:tab/>
        <w:t>Na actualidade, a Xunta argúe que, ademáis, o PSEG 1997 e o PSEG 2002 estaban exentos de Avaliación Ambiental Estratéxica:</w:t>
      </w:r>
    </w:p>
    <w:p w14:paraId="204F12DC" w14:textId="1F3D1DF0" w:rsidR="00565345" w:rsidRPr="00D44D88" w:rsidRDefault="00565345" w:rsidP="00246A53">
      <w:pPr>
        <w:pStyle w:val="Standard"/>
        <w:widowControl w:val="0"/>
        <w:numPr>
          <w:ilvl w:val="0"/>
          <w:numId w:val="16"/>
        </w:numPr>
        <w:spacing w:before="120" w:after="113"/>
        <w:ind w:left="709" w:hanging="425"/>
        <w:jc w:val="both"/>
        <w:textAlignment w:val="auto"/>
        <w:rPr>
          <w:rFonts w:asciiTheme="minorHAnsi" w:eastAsia="Calibri" w:hAnsiTheme="minorHAnsi" w:cstheme="minorHAnsi"/>
          <w:color w:val="000000"/>
          <w:spacing w:val="-2"/>
        </w:rPr>
      </w:pPr>
      <w:r w:rsidRPr="00D44D88">
        <w:rPr>
          <w:rFonts w:asciiTheme="minorHAnsi" w:eastAsia="Calibri" w:hAnsiTheme="minorHAnsi" w:cstheme="minorHAnsi"/>
          <w:color w:val="000000"/>
          <w:spacing w:val="-2"/>
        </w:rPr>
        <w:t>O PSEG orixinal</w:t>
      </w:r>
      <w:r w:rsidR="00472513">
        <w:rPr>
          <w:rFonts w:asciiTheme="minorHAnsi" w:eastAsia="Calibri" w:hAnsiTheme="minorHAnsi" w:cstheme="minorHAnsi"/>
          <w:color w:val="000000"/>
          <w:spacing w:val="-2"/>
        </w:rPr>
        <w:t xml:space="preserve"> de</w:t>
      </w:r>
      <w:r w:rsidRPr="00D44D88">
        <w:rPr>
          <w:rFonts w:asciiTheme="minorHAnsi" w:eastAsia="Calibri" w:hAnsiTheme="minorHAnsi" w:cstheme="minorHAnsi"/>
          <w:color w:val="000000"/>
          <w:spacing w:val="-2"/>
        </w:rPr>
        <w:t xml:space="preserve"> 1997 foi aprobado o </w:t>
      </w:r>
      <w:r w:rsidR="00472513">
        <w:rPr>
          <w:rFonts w:asciiTheme="minorHAnsi" w:eastAsia="Calibri" w:hAnsiTheme="minorHAnsi" w:cstheme="minorHAnsi"/>
          <w:color w:val="000000"/>
          <w:spacing w:val="-2"/>
        </w:rPr>
        <w:t>01/10/</w:t>
      </w:r>
      <w:r w:rsidRPr="00D44D88">
        <w:rPr>
          <w:rFonts w:asciiTheme="minorHAnsi" w:eastAsia="Calibri" w:hAnsiTheme="minorHAnsi" w:cstheme="minorHAnsi"/>
          <w:color w:val="000000"/>
          <w:spacing w:val="-2"/>
        </w:rPr>
        <w:t xml:space="preserve">1997, moito antes da entrada en vigor da Directiva 2001/42 CE, de AAE, o </w:t>
      </w:r>
      <w:r w:rsidR="00472513">
        <w:rPr>
          <w:rFonts w:asciiTheme="minorHAnsi" w:eastAsia="Calibri" w:hAnsiTheme="minorHAnsi" w:cstheme="minorHAnsi"/>
          <w:color w:val="000000"/>
          <w:spacing w:val="-2"/>
        </w:rPr>
        <w:t>21/07/</w:t>
      </w:r>
      <w:r w:rsidRPr="00D44D88">
        <w:rPr>
          <w:rFonts w:asciiTheme="minorHAnsi" w:eastAsia="Calibri" w:hAnsiTheme="minorHAnsi" w:cstheme="minorHAnsi"/>
          <w:color w:val="000000"/>
          <w:spacing w:val="-2"/>
        </w:rPr>
        <w:t>2001.</w:t>
      </w:r>
    </w:p>
    <w:p w14:paraId="1493425D" w14:textId="421E58D2" w:rsidR="00565345" w:rsidRPr="00D44D88" w:rsidRDefault="00565345" w:rsidP="00246A53">
      <w:pPr>
        <w:pStyle w:val="Standard"/>
        <w:widowControl w:val="0"/>
        <w:numPr>
          <w:ilvl w:val="0"/>
          <w:numId w:val="16"/>
        </w:numPr>
        <w:spacing w:before="120" w:after="170"/>
        <w:ind w:left="709" w:hanging="425"/>
        <w:jc w:val="both"/>
        <w:textAlignment w:val="auto"/>
        <w:rPr>
          <w:rFonts w:asciiTheme="minorHAnsi" w:eastAsia="Calibri" w:hAnsiTheme="minorHAnsi" w:cstheme="minorHAnsi"/>
          <w:color w:val="000000"/>
          <w:spacing w:val="-2"/>
        </w:rPr>
      </w:pPr>
      <w:r w:rsidRPr="00D44D88">
        <w:rPr>
          <w:rFonts w:asciiTheme="minorHAnsi" w:eastAsia="Calibri" w:hAnsiTheme="minorHAnsi" w:cstheme="minorHAnsi"/>
          <w:color w:val="000000"/>
          <w:spacing w:val="-2"/>
        </w:rPr>
        <w:t xml:space="preserve">O PSEG modificado </w:t>
      </w:r>
      <w:r w:rsidR="00472513">
        <w:rPr>
          <w:rFonts w:asciiTheme="minorHAnsi" w:eastAsia="Calibri" w:hAnsiTheme="minorHAnsi" w:cstheme="minorHAnsi"/>
          <w:color w:val="000000"/>
          <w:spacing w:val="-2"/>
        </w:rPr>
        <w:t xml:space="preserve">no 2002 foi aprobado </w:t>
      </w:r>
      <w:r w:rsidRPr="00D44D88">
        <w:rPr>
          <w:rFonts w:asciiTheme="minorHAnsi" w:eastAsia="Calibri" w:hAnsiTheme="minorHAnsi" w:cstheme="minorHAnsi"/>
          <w:color w:val="000000"/>
          <w:spacing w:val="-2"/>
        </w:rPr>
        <w:t xml:space="preserve">o </w:t>
      </w:r>
      <w:r w:rsidR="00472513">
        <w:rPr>
          <w:rFonts w:asciiTheme="minorHAnsi" w:eastAsia="Calibri" w:hAnsiTheme="minorHAnsi" w:cstheme="minorHAnsi"/>
          <w:color w:val="000000"/>
          <w:spacing w:val="-2"/>
        </w:rPr>
        <w:t>05/12/</w:t>
      </w:r>
      <w:r w:rsidRPr="00D44D88">
        <w:rPr>
          <w:rFonts w:asciiTheme="minorHAnsi" w:eastAsia="Calibri" w:hAnsiTheme="minorHAnsi" w:cstheme="minorHAnsi"/>
          <w:color w:val="000000"/>
          <w:spacing w:val="-2"/>
        </w:rPr>
        <w:t>2002, antes do remate do período de transposición da Directiva 2001/42/CE, de AAE (</w:t>
      </w:r>
      <w:r w:rsidR="00472513">
        <w:rPr>
          <w:rFonts w:asciiTheme="minorHAnsi" w:eastAsia="Calibri" w:hAnsiTheme="minorHAnsi" w:cstheme="minorHAnsi"/>
          <w:color w:val="000000"/>
          <w:spacing w:val="-2"/>
        </w:rPr>
        <w:t>21/07/</w:t>
      </w:r>
      <w:r w:rsidRPr="00D44D88">
        <w:rPr>
          <w:rFonts w:asciiTheme="minorHAnsi" w:eastAsia="Calibri" w:hAnsiTheme="minorHAnsi" w:cstheme="minorHAnsi"/>
          <w:color w:val="000000"/>
          <w:spacing w:val="-2"/>
        </w:rPr>
        <w:t xml:space="preserve">2001 a </w:t>
      </w:r>
      <w:r w:rsidR="00472513">
        <w:rPr>
          <w:rFonts w:asciiTheme="minorHAnsi" w:eastAsia="Calibri" w:hAnsiTheme="minorHAnsi" w:cstheme="minorHAnsi"/>
          <w:color w:val="000000"/>
          <w:spacing w:val="-2"/>
        </w:rPr>
        <w:t>21/07/</w:t>
      </w:r>
      <w:r w:rsidRPr="00D44D88">
        <w:rPr>
          <w:rFonts w:asciiTheme="minorHAnsi" w:eastAsia="Calibri" w:hAnsiTheme="minorHAnsi" w:cstheme="minorHAnsi"/>
          <w:color w:val="000000"/>
          <w:spacing w:val="-2"/>
        </w:rPr>
        <w:t>2004).</w:t>
      </w:r>
    </w:p>
    <w:p w14:paraId="7065A55A" w14:textId="77777777" w:rsidR="00565345" w:rsidRPr="00D44D88" w:rsidRDefault="00565345" w:rsidP="00D44D88">
      <w:pPr>
        <w:pStyle w:val="Standard"/>
        <w:spacing w:before="120" w:after="113"/>
        <w:ind w:left="567" w:hanging="283"/>
        <w:jc w:val="both"/>
        <w:rPr>
          <w:rFonts w:asciiTheme="minorHAnsi" w:eastAsia="Calibri" w:hAnsiTheme="minorHAnsi" w:cstheme="minorHAnsi"/>
          <w:color w:val="000000"/>
          <w:spacing w:val="-2"/>
        </w:rPr>
      </w:pPr>
      <w:r w:rsidRPr="00D44D88">
        <w:rPr>
          <w:rFonts w:asciiTheme="minorHAnsi" w:eastAsia="Calibri" w:hAnsiTheme="minorHAnsi" w:cstheme="minorHAnsi"/>
          <w:color w:val="000000"/>
          <w:spacing w:val="-2"/>
        </w:rPr>
        <w:lastRenderedPageBreak/>
        <w:t>c)</w:t>
      </w:r>
      <w:r w:rsidRPr="00D44D88">
        <w:rPr>
          <w:rFonts w:asciiTheme="minorHAnsi" w:eastAsia="Calibri" w:hAnsiTheme="minorHAnsi" w:cstheme="minorHAnsi"/>
          <w:color w:val="000000"/>
          <w:spacing w:val="-2"/>
        </w:rPr>
        <w:tab/>
        <w:t>Na actualidade, a Xunta tamén argúe que o PSEG 2002 segue estando exento de Avaliación Ambiental.</w:t>
      </w:r>
    </w:p>
    <w:p w14:paraId="0685570C" w14:textId="77777777" w:rsidR="00565345" w:rsidRPr="00D44D88" w:rsidRDefault="00565345" w:rsidP="00D44D88">
      <w:pPr>
        <w:pStyle w:val="Standard"/>
        <w:spacing w:before="120" w:after="113"/>
        <w:ind w:left="566"/>
        <w:jc w:val="both"/>
        <w:rPr>
          <w:rFonts w:asciiTheme="minorHAnsi" w:eastAsia="Calibri" w:hAnsiTheme="minorHAnsi" w:cstheme="minorHAnsi"/>
          <w:color w:val="000000"/>
        </w:rPr>
      </w:pPr>
      <w:r w:rsidRPr="00D44D88">
        <w:rPr>
          <w:rFonts w:asciiTheme="minorHAnsi" w:eastAsia="Calibri" w:hAnsiTheme="minorHAnsi" w:cstheme="minorHAnsi"/>
          <w:color w:val="000000"/>
        </w:rPr>
        <w:t>A cadea de argumentos, tanto os explícitos e oficialmente utilizados pola Xunta como os implícitos e non oficialmente declarados é a seguinte:</w:t>
      </w:r>
    </w:p>
    <w:p w14:paraId="446929AC" w14:textId="77777777" w:rsidR="00565345" w:rsidRPr="00D44D88" w:rsidRDefault="00565345" w:rsidP="00246A53">
      <w:pPr>
        <w:pStyle w:val="Standard"/>
        <w:widowControl w:val="0"/>
        <w:numPr>
          <w:ilvl w:val="0"/>
          <w:numId w:val="17"/>
        </w:numPr>
        <w:spacing w:before="120" w:after="57"/>
        <w:ind w:left="709" w:hanging="143"/>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que o PSEG é técnicamente un Plan.</w:t>
      </w:r>
    </w:p>
    <w:p w14:paraId="11707BD0" w14:textId="77777777" w:rsidR="00565345" w:rsidRPr="00D44D88" w:rsidRDefault="00565345" w:rsidP="00246A53">
      <w:pPr>
        <w:pStyle w:val="Standard"/>
        <w:widowControl w:val="0"/>
        <w:numPr>
          <w:ilvl w:val="0"/>
          <w:numId w:val="17"/>
        </w:numPr>
        <w:spacing w:before="120" w:after="57"/>
        <w:ind w:left="709" w:hanging="143"/>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que, polo tanto, nunca lle foi aplicable a AIA.</w:t>
      </w:r>
    </w:p>
    <w:p w14:paraId="234A8340" w14:textId="77777777" w:rsidR="00565345" w:rsidRPr="00D44D88" w:rsidRDefault="00565345" w:rsidP="00246A53">
      <w:pPr>
        <w:pStyle w:val="Standard"/>
        <w:widowControl w:val="0"/>
        <w:numPr>
          <w:ilvl w:val="0"/>
          <w:numId w:val="17"/>
        </w:numPr>
        <w:spacing w:before="120" w:after="57"/>
        <w:ind w:left="709" w:hanging="143"/>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que a AAE non lle era aplicable en 1997 nin en 2002.</w:t>
      </w:r>
    </w:p>
    <w:p w14:paraId="7C99F9ED" w14:textId="21423646" w:rsidR="00565345" w:rsidRPr="00D44D88" w:rsidRDefault="00565345" w:rsidP="00246A53">
      <w:pPr>
        <w:pStyle w:val="Standard"/>
        <w:widowControl w:val="0"/>
        <w:numPr>
          <w:ilvl w:val="0"/>
          <w:numId w:val="17"/>
        </w:numPr>
        <w:spacing w:before="120" w:after="57"/>
        <w:ind w:left="709" w:hanging="143"/>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 xml:space="preserve">que un Plan que foi aprobado antes da entrada en vigor da AAE e que xa está en marcha non está legalmente sometido </w:t>
      </w:r>
      <w:r w:rsidR="00472513">
        <w:rPr>
          <w:rFonts w:asciiTheme="minorHAnsi" w:eastAsia="Calibri" w:hAnsiTheme="minorHAnsi" w:cstheme="minorHAnsi"/>
          <w:color w:val="000000"/>
        </w:rPr>
        <w:t xml:space="preserve">a </w:t>
      </w:r>
      <w:r w:rsidRPr="00D44D88">
        <w:rPr>
          <w:rFonts w:asciiTheme="minorHAnsi" w:eastAsia="Calibri" w:hAnsiTheme="minorHAnsi" w:cstheme="minorHAnsi"/>
          <w:color w:val="000000"/>
        </w:rPr>
        <w:t>unha AAE posterior.</w:t>
      </w:r>
    </w:p>
    <w:p w14:paraId="3A15E478" w14:textId="77777777" w:rsidR="00565345" w:rsidRPr="00D44D88" w:rsidRDefault="00565345" w:rsidP="00246A53">
      <w:pPr>
        <w:pStyle w:val="Standard"/>
        <w:widowControl w:val="0"/>
        <w:numPr>
          <w:ilvl w:val="0"/>
          <w:numId w:val="17"/>
        </w:numPr>
        <w:spacing w:before="120" w:after="57"/>
        <w:ind w:left="709" w:hanging="143"/>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que un Plan que foi aprobado antes da entrada en vigor da AAE e que xa está en marcha non pode ser técnicamente sometido a AAE, posto que non se pode integrar a avaliación ambiental nun proceso de decisións que xa está concluido e materializado.</w:t>
      </w:r>
    </w:p>
    <w:p w14:paraId="74EAB4AB" w14:textId="77777777" w:rsidR="00565345" w:rsidRPr="00D44D88" w:rsidRDefault="00565345" w:rsidP="00246A53">
      <w:pPr>
        <w:pStyle w:val="Standard"/>
        <w:widowControl w:val="0"/>
        <w:numPr>
          <w:ilvl w:val="0"/>
          <w:numId w:val="17"/>
        </w:numPr>
        <w:spacing w:before="120" w:after="170"/>
        <w:ind w:left="709" w:hanging="143"/>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que, de ser sometido a algún xeito de AA, ésta non podería dar lugar a ningún cambio significativo do Plan que tivese valor legal</w:t>
      </w:r>
      <w:r w:rsidRPr="00D44D88">
        <w:rPr>
          <w:rFonts w:asciiTheme="minorHAnsi" w:eastAsia="Calibri" w:hAnsiTheme="minorHAnsi" w:cstheme="minorHAnsi"/>
          <w:color w:val="000000"/>
          <w:spacing w:val="-4"/>
        </w:rPr>
        <w:t>.</w:t>
      </w:r>
    </w:p>
    <w:p w14:paraId="6B220598" w14:textId="2FAB5688" w:rsidR="00565345" w:rsidRPr="00472513" w:rsidRDefault="00565345" w:rsidP="00D44D88">
      <w:pPr>
        <w:pStyle w:val="Standard"/>
        <w:spacing w:before="120" w:after="113"/>
        <w:ind w:left="283" w:hanging="283"/>
        <w:jc w:val="both"/>
        <w:rPr>
          <w:rFonts w:asciiTheme="minorHAnsi" w:eastAsia="Calibri" w:hAnsiTheme="minorHAnsi" w:cstheme="minorHAnsi"/>
          <w:color w:val="000000"/>
          <w:u w:val="single"/>
        </w:rPr>
      </w:pPr>
      <w:r w:rsidRPr="00D44D88">
        <w:rPr>
          <w:rFonts w:asciiTheme="minorHAnsi" w:eastAsia="Calibri" w:hAnsiTheme="minorHAnsi" w:cstheme="minorHAnsi"/>
          <w:b/>
          <w:bCs/>
          <w:color w:val="000000"/>
        </w:rPr>
        <w:t>7)</w:t>
      </w:r>
      <w:r w:rsidRPr="00D44D88">
        <w:rPr>
          <w:rFonts w:asciiTheme="minorHAnsi" w:eastAsia="Calibri" w:hAnsiTheme="minorHAnsi" w:cstheme="minorHAnsi"/>
          <w:color w:val="000000"/>
        </w:rPr>
        <w:tab/>
        <w:t xml:space="preserve">Pero a pesar de que o PSEG sexa técnicamente un Plan, e de que a AAE non lle fose aplicable ao Plan aprobado en 1997 nin á modificación aprobada en 2002, </w:t>
      </w:r>
      <w:r w:rsidRPr="00472513">
        <w:rPr>
          <w:rFonts w:asciiTheme="minorHAnsi" w:eastAsia="Calibri" w:hAnsiTheme="minorHAnsi" w:cstheme="minorHAnsi"/>
          <w:b/>
          <w:bCs/>
          <w:color w:val="000000"/>
          <w:u w:val="single"/>
        </w:rPr>
        <w:t>o PSEG nunca estivo exento de Avaliación Ambiental, nin no momento da súa redacción nin ao</w:t>
      </w:r>
      <w:r w:rsidRPr="00472513">
        <w:rPr>
          <w:rFonts w:asciiTheme="minorHAnsi" w:eastAsia="Calibri" w:hAnsiTheme="minorHAnsi" w:cstheme="minorHAnsi"/>
          <w:b/>
          <w:bCs/>
          <w:u w:val="single"/>
        </w:rPr>
        <w:t xml:space="preserve"> longo de dúas décadas de desenvolvemento</w:t>
      </w:r>
      <w:r w:rsidR="00220BDD">
        <w:rPr>
          <w:rFonts w:asciiTheme="minorHAnsi" w:eastAsia="Calibri" w:hAnsiTheme="minorHAnsi" w:cstheme="minorHAnsi"/>
          <w:b/>
          <w:bCs/>
          <w:u w:val="single"/>
        </w:rPr>
        <w:t xml:space="preserve"> como quedou demostrado nos puntos anteriores.</w:t>
      </w:r>
    </w:p>
    <w:p w14:paraId="731223A9" w14:textId="58F4F3A3" w:rsidR="00565345" w:rsidRPr="00D44D88" w:rsidRDefault="00565345" w:rsidP="00D44D88">
      <w:pPr>
        <w:pStyle w:val="Standard"/>
        <w:spacing w:before="120" w:after="170"/>
        <w:ind w:left="283"/>
        <w:jc w:val="both"/>
        <w:rPr>
          <w:rFonts w:asciiTheme="minorHAnsi" w:eastAsia="Calibri" w:hAnsiTheme="minorHAnsi" w:cstheme="minorHAnsi"/>
          <w:color w:val="000000"/>
        </w:rPr>
      </w:pPr>
      <w:r w:rsidRPr="00D44D88">
        <w:rPr>
          <w:rFonts w:asciiTheme="minorHAnsi" w:eastAsia="Calibri" w:hAnsiTheme="minorHAnsi" w:cstheme="minorHAnsi"/>
        </w:rPr>
        <w:t>É</w:t>
      </w:r>
      <w:r w:rsidR="00C2267F">
        <w:rPr>
          <w:rFonts w:asciiTheme="minorHAnsi" w:eastAsia="Calibri" w:hAnsiTheme="minorHAnsi" w:cstheme="minorHAnsi"/>
        </w:rPr>
        <w:t xml:space="preserve"> cuestión de pura racionalidade</w:t>
      </w:r>
      <w:r w:rsidRPr="00D44D88">
        <w:rPr>
          <w:rFonts w:asciiTheme="minorHAnsi" w:eastAsia="Calibri" w:hAnsiTheme="minorHAnsi" w:cstheme="minorHAnsi"/>
        </w:rPr>
        <w:t xml:space="preserve"> </w:t>
      </w:r>
      <w:r w:rsidR="00C2267F">
        <w:rPr>
          <w:rFonts w:asciiTheme="minorHAnsi" w:eastAsia="Calibri" w:hAnsiTheme="minorHAnsi" w:cstheme="minorHAnsi"/>
        </w:rPr>
        <w:t>e</w:t>
      </w:r>
      <w:r w:rsidRPr="00D44D88">
        <w:rPr>
          <w:rFonts w:asciiTheme="minorHAnsi" w:eastAsia="Calibri" w:hAnsiTheme="minorHAnsi" w:cstheme="minorHAnsi"/>
        </w:rPr>
        <w:t xml:space="preserve"> de xestión ambiental responsable por parte das administracións públicas. E da aplicación do principio de cautela, incorporado no Tratado de Funcionamento da Unión Europea e na lexislación ambiental. E, polo tanto, é cuestión de legalidade ambiental:</w:t>
      </w:r>
    </w:p>
    <w:p w14:paraId="0EE2BEA4" w14:textId="09A929F9" w:rsidR="00565345" w:rsidRPr="00D44D88" w:rsidRDefault="00565345" w:rsidP="00D44D88">
      <w:pPr>
        <w:pStyle w:val="Standard"/>
        <w:spacing w:before="120" w:after="170"/>
        <w:ind w:left="567" w:hanging="283"/>
        <w:jc w:val="both"/>
        <w:rPr>
          <w:rFonts w:asciiTheme="minorHAnsi" w:eastAsia="Calibri" w:hAnsiTheme="minorHAnsi" w:cstheme="minorHAnsi"/>
          <w:color w:val="000000"/>
        </w:rPr>
      </w:pPr>
      <w:r w:rsidRPr="00D44D88">
        <w:rPr>
          <w:rFonts w:asciiTheme="minorHAnsi" w:eastAsia="Calibri" w:hAnsiTheme="minorHAnsi" w:cstheme="minorHAnsi"/>
          <w:color w:val="000000"/>
        </w:rPr>
        <w:t xml:space="preserve">En resumo: </w:t>
      </w:r>
      <w:r w:rsidRPr="00D44D88">
        <w:rPr>
          <w:rFonts w:asciiTheme="minorHAnsi" w:eastAsia="Calibri" w:hAnsiTheme="minorHAnsi" w:cstheme="minorHAnsi"/>
          <w:b/>
          <w:bCs/>
          <w:color w:val="000000"/>
        </w:rPr>
        <w:t>considerado como Plan</w:t>
      </w:r>
      <w:r w:rsidRPr="00D44D88">
        <w:rPr>
          <w:rFonts w:asciiTheme="minorHAnsi" w:eastAsia="Calibri" w:hAnsiTheme="minorHAnsi" w:cstheme="minorHAnsi"/>
          <w:color w:val="000000"/>
        </w:rPr>
        <w:t xml:space="preserve"> ou </w:t>
      </w:r>
      <w:r w:rsidRPr="00D44D88">
        <w:rPr>
          <w:rFonts w:asciiTheme="minorHAnsi" w:eastAsia="Calibri" w:hAnsiTheme="minorHAnsi" w:cstheme="minorHAnsi"/>
          <w:b/>
          <w:bCs/>
          <w:color w:val="000000"/>
        </w:rPr>
        <w:t>como Pro</w:t>
      </w:r>
      <w:r w:rsidR="00844DDD">
        <w:rPr>
          <w:rFonts w:asciiTheme="minorHAnsi" w:eastAsia="Calibri" w:hAnsiTheme="minorHAnsi" w:cstheme="minorHAnsi"/>
          <w:b/>
          <w:bCs/>
          <w:color w:val="000000"/>
        </w:rPr>
        <w:t>x</w:t>
      </w:r>
      <w:r w:rsidRPr="00D44D88">
        <w:rPr>
          <w:rFonts w:asciiTheme="minorHAnsi" w:eastAsia="Calibri" w:hAnsiTheme="minorHAnsi" w:cstheme="minorHAnsi"/>
          <w:b/>
          <w:bCs/>
          <w:color w:val="000000"/>
        </w:rPr>
        <w:t>ecto:</w:t>
      </w:r>
    </w:p>
    <w:p w14:paraId="2BB85D51" w14:textId="7801CBCD" w:rsidR="00565345" w:rsidRPr="00D44D88" w:rsidRDefault="00565345" w:rsidP="00246A53">
      <w:pPr>
        <w:pStyle w:val="Standard"/>
        <w:widowControl w:val="0"/>
        <w:numPr>
          <w:ilvl w:val="0"/>
          <w:numId w:val="18"/>
        </w:numPr>
        <w:spacing w:before="120" w:after="170"/>
        <w:ind w:left="709" w:hanging="425"/>
        <w:jc w:val="both"/>
        <w:textAlignment w:val="auto"/>
        <w:rPr>
          <w:rFonts w:asciiTheme="minorHAnsi" w:eastAsia="Calibri" w:hAnsiTheme="minorHAnsi" w:cstheme="minorHAnsi"/>
          <w:color w:val="000000"/>
        </w:rPr>
      </w:pPr>
      <w:r w:rsidRPr="00D44D88">
        <w:rPr>
          <w:rFonts w:asciiTheme="minorHAnsi" w:eastAsia="Calibri" w:hAnsiTheme="minorHAnsi" w:cstheme="minorHAnsi"/>
          <w:color w:val="000000"/>
        </w:rPr>
        <w:t xml:space="preserve">O </w:t>
      </w:r>
      <w:r w:rsidRPr="00D44D88">
        <w:rPr>
          <w:rFonts w:asciiTheme="minorHAnsi" w:eastAsia="Calibri" w:hAnsiTheme="minorHAnsi" w:cstheme="minorHAnsi"/>
          <w:b/>
          <w:bCs/>
          <w:color w:val="000000"/>
        </w:rPr>
        <w:t xml:space="preserve">PSEG orixinal 1997 </w:t>
      </w:r>
      <w:r w:rsidRPr="00D44D88">
        <w:rPr>
          <w:rFonts w:asciiTheme="minorHAnsi" w:eastAsia="Calibri" w:hAnsiTheme="minorHAnsi" w:cstheme="minorHAnsi"/>
          <w:color w:val="000000"/>
        </w:rPr>
        <w:t xml:space="preserve"> debeu ser sometido a </w:t>
      </w:r>
      <w:r w:rsidRPr="00D44D88">
        <w:rPr>
          <w:rFonts w:asciiTheme="minorHAnsi" w:eastAsia="Calibri" w:hAnsiTheme="minorHAnsi" w:cstheme="minorHAnsi"/>
          <w:b/>
          <w:bCs/>
          <w:color w:val="000000"/>
        </w:rPr>
        <w:t>Avaliación de Impacto Ambiental.</w:t>
      </w:r>
    </w:p>
    <w:p w14:paraId="5AE0A7B1" w14:textId="59AFCEC3" w:rsidR="00565345" w:rsidRPr="00D44D88" w:rsidRDefault="00565345" w:rsidP="00246A53">
      <w:pPr>
        <w:pStyle w:val="Standard"/>
        <w:widowControl w:val="0"/>
        <w:numPr>
          <w:ilvl w:val="0"/>
          <w:numId w:val="18"/>
        </w:numPr>
        <w:spacing w:before="120" w:after="170"/>
        <w:ind w:left="709" w:hanging="425"/>
        <w:jc w:val="both"/>
        <w:textAlignment w:val="auto"/>
        <w:rPr>
          <w:rFonts w:asciiTheme="minorHAnsi" w:eastAsia="Calibri" w:hAnsiTheme="minorHAnsi" w:cstheme="minorHAnsi"/>
          <w:color w:val="000000"/>
        </w:rPr>
      </w:pPr>
      <w:r w:rsidRPr="00D44D88">
        <w:rPr>
          <w:rFonts w:asciiTheme="minorHAnsi" w:eastAsia="Calibri" w:hAnsiTheme="minorHAnsi" w:cstheme="minorHAnsi"/>
          <w:b/>
          <w:bCs/>
          <w:color w:val="000000"/>
          <w:spacing w:val="-4"/>
        </w:rPr>
        <w:t>O PSEG modificado 2002</w:t>
      </w:r>
      <w:r w:rsidRPr="00D44D88">
        <w:rPr>
          <w:rFonts w:asciiTheme="minorHAnsi" w:eastAsia="Calibri" w:hAnsiTheme="minorHAnsi" w:cstheme="minorHAnsi"/>
          <w:color w:val="000000"/>
          <w:spacing w:val="-4"/>
        </w:rPr>
        <w:t xml:space="preserve"> debeu ser sometido, ben a </w:t>
      </w:r>
      <w:r w:rsidRPr="00D44D88">
        <w:rPr>
          <w:rFonts w:asciiTheme="minorHAnsi" w:eastAsia="Calibri" w:hAnsiTheme="minorHAnsi" w:cstheme="minorHAnsi"/>
          <w:b/>
          <w:bCs/>
          <w:color w:val="000000"/>
          <w:spacing w:val="-4"/>
        </w:rPr>
        <w:t xml:space="preserve">Avaliación de Impacto Ambiental, </w:t>
      </w:r>
      <w:r w:rsidRPr="00D44D88">
        <w:rPr>
          <w:rFonts w:asciiTheme="minorHAnsi" w:eastAsia="Calibri" w:hAnsiTheme="minorHAnsi" w:cstheme="minorHAnsi"/>
          <w:color w:val="000000"/>
          <w:spacing w:val="-4"/>
        </w:rPr>
        <w:t xml:space="preserve">ben a </w:t>
      </w:r>
      <w:r w:rsidRPr="00D44D88">
        <w:rPr>
          <w:rFonts w:asciiTheme="minorHAnsi" w:eastAsia="Calibri" w:hAnsiTheme="minorHAnsi" w:cstheme="minorHAnsi"/>
          <w:b/>
          <w:bCs/>
          <w:color w:val="000000"/>
          <w:spacing w:val="-4"/>
        </w:rPr>
        <w:t>Avaliación Ambiental Estratéxica</w:t>
      </w:r>
      <w:r w:rsidRPr="00D44D88">
        <w:rPr>
          <w:rFonts w:asciiTheme="minorHAnsi" w:eastAsia="Calibri" w:hAnsiTheme="minorHAnsi" w:cstheme="minorHAnsi"/>
          <w:color w:val="000000"/>
          <w:spacing w:val="-4"/>
        </w:rPr>
        <w:t xml:space="preserve">. Os seis feitos determinantes xa descritos facían a súa </w:t>
      </w:r>
      <w:r w:rsidRPr="00D44D88">
        <w:rPr>
          <w:rFonts w:asciiTheme="minorHAnsi" w:eastAsia="Calibri" w:hAnsiTheme="minorHAnsi" w:cstheme="minorHAnsi"/>
          <w:b/>
          <w:bCs/>
          <w:color w:val="000000"/>
          <w:spacing w:val="-4"/>
        </w:rPr>
        <w:t>AIA</w:t>
      </w:r>
      <w:r w:rsidRPr="00D44D88">
        <w:rPr>
          <w:rFonts w:asciiTheme="minorHAnsi" w:eastAsia="Calibri" w:hAnsiTheme="minorHAnsi" w:cstheme="minorHAnsi"/>
          <w:color w:val="000000"/>
          <w:spacing w:val="-4"/>
        </w:rPr>
        <w:t xml:space="preserve"> ou a súa </w:t>
      </w:r>
      <w:r w:rsidRPr="00D44D88">
        <w:rPr>
          <w:rFonts w:asciiTheme="minorHAnsi" w:eastAsia="Calibri" w:hAnsiTheme="minorHAnsi" w:cstheme="minorHAnsi"/>
          <w:b/>
          <w:bCs/>
          <w:color w:val="000000"/>
          <w:spacing w:val="-4"/>
        </w:rPr>
        <w:t>AAE</w:t>
      </w:r>
      <w:r w:rsidRPr="00D44D88">
        <w:rPr>
          <w:rFonts w:asciiTheme="minorHAnsi" w:eastAsia="Calibri" w:hAnsiTheme="minorHAnsi" w:cstheme="minorHAnsi"/>
          <w:color w:val="000000"/>
          <w:spacing w:val="-4"/>
        </w:rPr>
        <w:t xml:space="preserve"> ineludible. E o resultado dunha AIA ou dunha AAE correctamente realizadas sería equivalente</w:t>
      </w:r>
      <w:r w:rsidRPr="00D44D88">
        <w:rPr>
          <w:rFonts w:asciiTheme="minorHAnsi" w:eastAsia="Calibri" w:hAnsiTheme="minorHAnsi" w:cstheme="minorHAnsi"/>
          <w:color w:val="000000"/>
        </w:rPr>
        <w:t>.</w:t>
      </w:r>
    </w:p>
    <w:p w14:paraId="3796B245" w14:textId="1F16FE06" w:rsidR="00565345" w:rsidRPr="00991A7C" w:rsidRDefault="00991A7C" w:rsidP="00991A7C">
      <w:pPr>
        <w:ind w:left="283"/>
        <w:jc w:val="both"/>
        <w:rPr>
          <w:sz w:val="24"/>
          <w:szCs w:val="24"/>
        </w:rPr>
      </w:pPr>
      <w:r>
        <w:rPr>
          <w:sz w:val="24"/>
          <w:szCs w:val="24"/>
        </w:rPr>
        <w:t>Finalmente</w:t>
      </w:r>
      <w:r w:rsidR="00565345" w:rsidRPr="00991A7C">
        <w:rPr>
          <w:sz w:val="24"/>
          <w:szCs w:val="24"/>
        </w:rPr>
        <w:t xml:space="preserve">, e como ven sendo habitual, tampouco non se realizou o </w:t>
      </w:r>
      <w:r>
        <w:rPr>
          <w:sz w:val="24"/>
          <w:szCs w:val="24"/>
        </w:rPr>
        <w:t>p</w:t>
      </w:r>
      <w:r w:rsidR="00565345" w:rsidRPr="00991A7C">
        <w:rPr>
          <w:sz w:val="24"/>
          <w:szCs w:val="24"/>
        </w:rPr>
        <w:t xml:space="preserve">receptivo </w:t>
      </w:r>
      <w:r w:rsidR="00220BDD">
        <w:rPr>
          <w:b/>
          <w:sz w:val="24"/>
          <w:szCs w:val="24"/>
          <w:u w:val="single"/>
        </w:rPr>
        <w:t>Plan de Seguemento A</w:t>
      </w:r>
      <w:r w:rsidR="00565345" w:rsidRPr="00220BDD">
        <w:rPr>
          <w:b/>
          <w:sz w:val="24"/>
          <w:szCs w:val="24"/>
          <w:u w:val="single"/>
        </w:rPr>
        <w:t>mbiental</w:t>
      </w:r>
      <w:r w:rsidR="00565345" w:rsidRPr="00991A7C">
        <w:rPr>
          <w:sz w:val="24"/>
          <w:szCs w:val="24"/>
        </w:rPr>
        <w:t xml:space="preserve"> do desenvolvemento do PSEG.</w:t>
      </w:r>
    </w:p>
    <w:p w14:paraId="2A9B8F4C" w14:textId="38BEF860" w:rsidR="00991A7C" w:rsidRDefault="00565345" w:rsidP="00991A7C">
      <w:pPr>
        <w:pStyle w:val="Standard"/>
        <w:spacing w:before="120" w:after="113"/>
        <w:ind w:left="283" w:hanging="283"/>
        <w:jc w:val="both"/>
        <w:rPr>
          <w:rFonts w:eastAsiaTheme="minorHAnsi"/>
        </w:rPr>
      </w:pPr>
      <w:r w:rsidRPr="00D44D88">
        <w:rPr>
          <w:rFonts w:asciiTheme="minorHAnsi" w:eastAsia="Calibri" w:hAnsiTheme="minorHAnsi" w:cstheme="minorHAnsi"/>
          <w:b/>
          <w:bCs/>
          <w:color w:val="000000"/>
          <w:spacing w:val="-2"/>
        </w:rPr>
        <w:t>8)</w:t>
      </w:r>
      <w:r w:rsidRPr="00D44D88">
        <w:rPr>
          <w:rFonts w:asciiTheme="minorHAnsi" w:eastAsia="Calibri" w:hAnsiTheme="minorHAnsi" w:cstheme="minorHAnsi"/>
          <w:color w:val="000000"/>
          <w:spacing w:val="-2"/>
        </w:rPr>
        <w:tab/>
      </w:r>
      <w:r w:rsidR="00991A7C">
        <w:t xml:space="preserve">Recentemente, como resumo de toda esta irracionalidade, procede citar o </w:t>
      </w:r>
      <w:hyperlink r:id="rId28" w:history="1">
        <w:r w:rsidR="00991A7C" w:rsidRPr="00307C94">
          <w:rPr>
            <w:rStyle w:val="Hipervnculo"/>
            <w:rFonts w:eastAsiaTheme="minorHAnsi"/>
            <w:b/>
          </w:rPr>
          <w:t>I</w:t>
        </w:r>
        <w:hyperlink r:id="rId29" w:history="1">
          <w:r w:rsidR="0049516D" w:rsidRPr="005A09CC">
            <w:rPr>
              <w:rStyle w:val="Hipervnculo"/>
              <w:rFonts w:asciiTheme="minorHAnsi" w:eastAsiaTheme="minorHAnsi" w:hAnsiTheme="minorHAnsi" w:cstheme="minorHAnsi"/>
              <w:b/>
            </w:rPr>
            <w:t>I</w:t>
          </w:r>
          <w:r w:rsidR="0049516D">
            <w:rPr>
              <w:rStyle w:val="Hipervnculo"/>
              <w:rFonts w:asciiTheme="minorHAnsi" w:eastAsiaTheme="minorHAnsi" w:hAnsiTheme="minorHAnsi" w:cstheme="minorHAnsi"/>
              <w:b/>
            </w:rPr>
            <w:t>nforme</w:t>
          </w:r>
          <w:r w:rsidR="0049516D" w:rsidRPr="005A09CC">
            <w:rPr>
              <w:rStyle w:val="Hipervnculo"/>
              <w:rFonts w:asciiTheme="minorHAnsi" w:eastAsiaTheme="minorHAnsi" w:hAnsiTheme="minorHAnsi" w:cstheme="minorHAnsi"/>
              <w:b/>
            </w:rPr>
            <w:t xml:space="preserve"> </w:t>
          </w:r>
          <w:r w:rsidR="0049516D">
            <w:rPr>
              <w:rStyle w:val="Hipervnculo"/>
              <w:rFonts w:asciiTheme="minorHAnsi" w:eastAsiaTheme="minorHAnsi" w:hAnsiTheme="minorHAnsi" w:cstheme="minorHAnsi"/>
              <w:b/>
            </w:rPr>
            <w:t>da</w:t>
          </w:r>
          <w:r w:rsidR="0049516D" w:rsidRPr="005A09CC">
            <w:rPr>
              <w:rStyle w:val="Hipervnculo"/>
              <w:rFonts w:asciiTheme="minorHAnsi" w:eastAsiaTheme="minorHAnsi" w:hAnsiTheme="minorHAnsi" w:cstheme="minorHAnsi"/>
              <w:b/>
            </w:rPr>
            <w:t xml:space="preserve"> C</w:t>
          </w:r>
          <w:r w:rsidR="0049516D">
            <w:rPr>
              <w:rStyle w:val="Hipervnculo"/>
              <w:rFonts w:asciiTheme="minorHAnsi" w:eastAsiaTheme="minorHAnsi" w:hAnsiTheme="minorHAnsi" w:cstheme="minorHAnsi"/>
              <w:b/>
            </w:rPr>
            <w:t>omisión</w:t>
          </w:r>
          <w:r w:rsidR="0049516D" w:rsidRPr="005A09CC">
            <w:rPr>
              <w:rStyle w:val="Hipervnculo"/>
              <w:rFonts w:asciiTheme="minorHAnsi" w:eastAsiaTheme="minorHAnsi" w:hAnsiTheme="minorHAnsi" w:cstheme="minorHAnsi"/>
              <w:b/>
            </w:rPr>
            <w:t xml:space="preserve"> T</w:t>
          </w:r>
          <w:r w:rsidR="0049516D">
            <w:rPr>
              <w:rStyle w:val="Hipervnculo"/>
              <w:rFonts w:asciiTheme="minorHAnsi" w:eastAsiaTheme="minorHAnsi" w:hAnsiTheme="minorHAnsi" w:cstheme="minorHAnsi"/>
              <w:b/>
            </w:rPr>
            <w:t>écnica</w:t>
          </w:r>
          <w:r w:rsidR="0049516D" w:rsidRPr="005A09CC">
            <w:rPr>
              <w:rStyle w:val="Hipervnculo"/>
              <w:rFonts w:asciiTheme="minorHAnsi" w:eastAsiaTheme="minorHAnsi" w:hAnsiTheme="minorHAnsi" w:cstheme="minorHAnsi"/>
              <w:b/>
            </w:rPr>
            <w:t xml:space="preserve"> T</w:t>
          </w:r>
          <w:r w:rsidR="0049516D">
            <w:rPr>
              <w:rStyle w:val="Hipervnculo"/>
              <w:rFonts w:asciiTheme="minorHAnsi" w:eastAsiaTheme="minorHAnsi" w:hAnsiTheme="minorHAnsi" w:cstheme="minorHAnsi"/>
              <w:b/>
            </w:rPr>
            <w:t>emporal</w:t>
          </w:r>
          <w:r w:rsidR="0049516D" w:rsidRPr="005A09CC">
            <w:rPr>
              <w:rStyle w:val="Hipervnculo"/>
              <w:rFonts w:asciiTheme="minorHAnsi" w:eastAsiaTheme="minorHAnsi" w:hAnsiTheme="minorHAnsi" w:cstheme="minorHAnsi"/>
              <w:b/>
            </w:rPr>
            <w:t xml:space="preserve"> </w:t>
          </w:r>
          <w:r w:rsidR="0049516D">
            <w:rPr>
              <w:rStyle w:val="Hipervnculo"/>
              <w:rFonts w:asciiTheme="minorHAnsi" w:eastAsiaTheme="minorHAnsi" w:hAnsiTheme="minorHAnsi" w:cstheme="minorHAnsi"/>
              <w:b/>
            </w:rPr>
            <w:t>sobre</w:t>
          </w:r>
          <w:r w:rsidR="0049516D" w:rsidRPr="005A09CC">
            <w:rPr>
              <w:rStyle w:val="Hipervnculo"/>
              <w:rFonts w:asciiTheme="minorHAnsi" w:eastAsiaTheme="minorHAnsi" w:hAnsiTheme="minorHAnsi" w:cstheme="minorHAnsi"/>
              <w:b/>
            </w:rPr>
            <w:t xml:space="preserve"> E</w:t>
          </w:r>
          <w:r w:rsidR="0049516D">
            <w:rPr>
              <w:rStyle w:val="Hipervnculo"/>
              <w:rFonts w:asciiTheme="minorHAnsi" w:eastAsiaTheme="minorHAnsi" w:hAnsiTheme="minorHAnsi" w:cstheme="minorHAnsi"/>
              <w:b/>
            </w:rPr>
            <w:t>nerxía</w:t>
          </w:r>
          <w:r w:rsidR="0049516D" w:rsidRPr="005A09CC">
            <w:rPr>
              <w:rStyle w:val="Hipervnculo"/>
              <w:rFonts w:asciiTheme="minorHAnsi" w:eastAsiaTheme="minorHAnsi" w:hAnsiTheme="minorHAnsi" w:cstheme="minorHAnsi"/>
              <w:b/>
            </w:rPr>
            <w:t xml:space="preserve"> E</w:t>
          </w:r>
          <w:r w:rsidR="0049516D">
            <w:rPr>
              <w:rStyle w:val="Hipervnculo"/>
              <w:rFonts w:asciiTheme="minorHAnsi" w:eastAsiaTheme="minorHAnsi" w:hAnsiTheme="minorHAnsi" w:cstheme="minorHAnsi"/>
              <w:b/>
            </w:rPr>
            <w:t>ólica</w:t>
          </w:r>
          <w:r w:rsidR="0049516D" w:rsidRPr="005A09CC">
            <w:rPr>
              <w:rStyle w:val="Hipervnculo"/>
              <w:rFonts w:asciiTheme="minorHAnsi" w:eastAsiaTheme="minorHAnsi" w:hAnsiTheme="minorHAnsi" w:cstheme="minorHAnsi"/>
              <w:b/>
            </w:rPr>
            <w:t xml:space="preserve"> </w:t>
          </w:r>
          <w:r w:rsidR="0049516D">
            <w:rPr>
              <w:rStyle w:val="Hipervnculo"/>
              <w:rFonts w:asciiTheme="minorHAnsi" w:eastAsiaTheme="minorHAnsi" w:hAnsiTheme="minorHAnsi" w:cstheme="minorHAnsi"/>
              <w:b/>
            </w:rPr>
            <w:t>e Paisaxes Culturais en Galicia</w:t>
          </w:r>
        </w:hyperlink>
      </w:hyperlink>
      <w:r w:rsidR="00991A7C">
        <w:rPr>
          <w:rStyle w:val="Refdenotaalpie"/>
          <w:rFonts w:eastAsiaTheme="minorHAnsi"/>
          <w:b/>
        </w:rPr>
        <w:footnoteReference w:id="16"/>
      </w:r>
      <w:r w:rsidR="00991A7C">
        <w:rPr>
          <w:rFonts w:eastAsiaTheme="minorHAnsi"/>
          <w:b/>
        </w:rPr>
        <w:t xml:space="preserve"> </w:t>
      </w:r>
      <w:r w:rsidR="00991A7C" w:rsidRPr="00307C94">
        <w:rPr>
          <w:rFonts w:eastAsiaTheme="minorHAnsi"/>
        </w:rPr>
        <w:t>DOI: 10.17075/icttseepc.2021, de decembro de 2021</w:t>
      </w:r>
      <w:r w:rsidR="00991A7C">
        <w:rPr>
          <w:rFonts w:eastAsiaTheme="minorHAnsi"/>
        </w:rPr>
        <w:t>.</w:t>
      </w:r>
    </w:p>
    <w:p w14:paraId="1963A806" w14:textId="51F8EED4" w:rsidR="00991A7C" w:rsidRPr="00307C94" w:rsidRDefault="00991A7C" w:rsidP="00991A7C">
      <w:pPr>
        <w:pStyle w:val="Standard"/>
        <w:spacing w:before="120" w:after="113"/>
        <w:ind w:left="283"/>
        <w:jc w:val="both"/>
        <w:rPr>
          <w:vertAlign w:val="superscript"/>
        </w:rPr>
      </w:pPr>
      <w:r w:rsidRPr="00D44D88">
        <w:rPr>
          <w:rFonts w:asciiTheme="minorHAnsi" w:eastAsia="Calibri" w:hAnsiTheme="minorHAnsi" w:cstheme="minorHAnsi"/>
          <w:color w:val="000000"/>
          <w:spacing w:val="-2"/>
        </w:rPr>
        <w:t>No seu</w:t>
      </w:r>
      <w:r w:rsidRPr="00D44D88">
        <w:rPr>
          <w:rFonts w:asciiTheme="minorHAnsi" w:eastAsia="Calibri" w:hAnsiTheme="minorHAnsi" w:cstheme="minorHAnsi"/>
          <w:b/>
          <w:bCs/>
          <w:color w:val="000000"/>
          <w:spacing w:val="-2"/>
        </w:rPr>
        <w:t xml:space="preserve"> Punto 5, </w:t>
      </w:r>
      <w:r w:rsidRPr="00D44D88">
        <w:rPr>
          <w:rFonts w:asciiTheme="minorHAnsi" w:eastAsia="Calibri" w:hAnsiTheme="minorHAnsi" w:cstheme="minorHAnsi"/>
          <w:b/>
          <w:bCs/>
          <w:i/>
          <w:iCs/>
          <w:color w:val="000000"/>
          <w:spacing w:val="-2"/>
        </w:rPr>
        <w:t>Conclusións</w:t>
      </w:r>
      <w:r w:rsidRPr="00D44D88">
        <w:rPr>
          <w:rFonts w:asciiTheme="minorHAnsi" w:eastAsia="Calibri" w:hAnsiTheme="minorHAnsi" w:cstheme="minorHAnsi"/>
          <w:color w:val="000000"/>
          <w:spacing w:val="-2"/>
        </w:rPr>
        <w:t>, páxinas 85 e 86, este informe contén unha reflexión que corrobora o antedito, e que facemos nosa:</w:t>
      </w:r>
    </w:p>
    <w:p w14:paraId="2CD52CB4" w14:textId="77777777" w:rsidR="00991A7C" w:rsidRPr="00307C94" w:rsidRDefault="00991A7C" w:rsidP="00991A7C">
      <w:pPr>
        <w:autoSpaceDE w:val="0"/>
        <w:autoSpaceDN w:val="0"/>
        <w:adjustRightInd w:val="0"/>
        <w:spacing w:before="120" w:after="0" w:line="240" w:lineRule="auto"/>
        <w:ind w:left="708"/>
        <w:jc w:val="both"/>
        <w:rPr>
          <w:rFonts w:eastAsiaTheme="minorHAnsi"/>
          <w:i/>
          <w:sz w:val="20"/>
          <w:szCs w:val="20"/>
        </w:rPr>
      </w:pPr>
      <w:r w:rsidRPr="00307C94">
        <w:rPr>
          <w:rFonts w:eastAsiaTheme="minorHAnsi"/>
          <w:i/>
          <w:sz w:val="20"/>
          <w:szCs w:val="20"/>
        </w:rPr>
        <w:t xml:space="preserve">“Finalmente, o feito de que o Plan sectorial eólico de 1997 non fose sometido a avaliación ambiental estratéxica determina, como xa salientamos, unha avaliación fragmentada, proxecto a proxecto. Isto, unido a que a propia estrutura da avaliación ambiental dos proxectos presente serias insuficiencias, provoca un alto potencial de dano ambiental non diagnosticado, que se incrementa a medida que se autorizan parques eólicos </w:t>
      </w:r>
      <w:r w:rsidRPr="00307C94">
        <w:rPr>
          <w:rFonts w:eastAsiaTheme="minorHAnsi"/>
          <w:i/>
          <w:sz w:val="20"/>
          <w:szCs w:val="20"/>
        </w:rPr>
        <w:lastRenderedPageBreak/>
        <w:t>sen unha visión de conxunto dos seus impactos. Estes danos ambientais serían irreversibles, en boa medida, ao supor alteracións non avaliadas dos ecosistemas afectados.</w:t>
      </w:r>
    </w:p>
    <w:p w14:paraId="0920C3EB" w14:textId="77777777" w:rsidR="00991A7C" w:rsidRPr="00307C94" w:rsidRDefault="00991A7C" w:rsidP="00991A7C">
      <w:pPr>
        <w:autoSpaceDE w:val="0"/>
        <w:autoSpaceDN w:val="0"/>
        <w:adjustRightInd w:val="0"/>
        <w:spacing w:before="120" w:after="0" w:line="240" w:lineRule="auto"/>
        <w:ind w:left="708"/>
        <w:jc w:val="both"/>
        <w:rPr>
          <w:rFonts w:eastAsiaTheme="minorHAnsi"/>
          <w:i/>
          <w:sz w:val="20"/>
          <w:szCs w:val="20"/>
        </w:rPr>
      </w:pPr>
      <w:r w:rsidRPr="00307C94">
        <w:rPr>
          <w:rFonts w:eastAsiaTheme="minorHAnsi"/>
          <w:i/>
          <w:sz w:val="20"/>
          <w:szCs w:val="20"/>
        </w:rPr>
        <w:t>Sendo isto así, cómpre suxerir unha moratoria na autorización de parques, para que as administracións competentes corrixan as eivas que van descritas no presente informe, antes de continuar coa forte expansión desta tecnoloxía enerxética. Dous principios ambientais deben ser sinalados como xustificación xurídica desta proposta:</w:t>
      </w:r>
    </w:p>
    <w:p w14:paraId="4908CFA2" w14:textId="25AE45C8" w:rsidR="00991A7C" w:rsidRPr="00844DDD" w:rsidRDefault="00844DDD" w:rsidP="00844DDD">
      <w:pPr>
        <w:autoSpaceDE w:val="0"/>
        <w:autoSpaceDN w:val="0"/>
        <w:adjustRightInd w:val="0"/>
        <w:spacing w:before="120"/>
        <w:ind w:left="708"/>
        <w:jc w:val="both"/>
        <w:rPr>
          <w:rFonts w:eastAsiaTheme="minorHAnsi"/>
          <w:i/>
          <w:sz w:val="20"/>
          <w:szCs w:val="20"/>
        </w:rPr>
      </w:pPr>
      <w:r w:rsidRPr="00844DDD">
        <w:rPr>
          <w:rFonts w:eastAsiaTheme="minorHAnsi"/>
          <w:b/>
          <w:i/>
          <w:sz w:val="20"/>
          <w:szCs w:val="20"/>
        </w:rPr>
        <w:t xml:space="preserve">O </w:t>
      </w:r>
      <w:r w:rsidR="00991A7C" w:rsidRPr="00844DDD">
        <w:rPr>
          <w:rFonts w:eastAsiaTheme="minorHAnsi"/>
          <w:b/>
          <w:i/>
          <w:sz w:val="20"/>
          <w:szCs w:val="20"/>
        </w:rPr>
        <w:t>primeiro é o de precaución</w:t>
      </w:r>
      <w:r w:rsidR="00991A7C" w:rsidRPr="00844DDD">
        <w:rPr>
          <w:rFonts w:eastAsiaTheme="minorHAnsi"/>
          <w:i/>
          <w:sz w:val="20"/>
          <w:szCs w:val="20"/>
        </w:rPr>
        <w:t>. Trátase dun principio esencial da política ambiental europea, cuxas bases foron asentadas na Comunicación da Comisión Europea do 2 de febreiro do 2000. Conforme este principio, hoxe incorporado ao artigo 191 do Tratado de Funcionamento da Unión Europea e á xurisprudencia comunitaria (sentenza do Tribunal de Primeira Instancia do 11 de setembro, asunto T-13/99, “Pfizer Animal Health S.A.”), “cando haxa perigo de dano grave ou irreversible, a falta de certeza científica absoluta non debe utilizarse como razón para postergar a adopción de medidas efectivas para impedir a degradación do medio ambiente”.</w:t>
      </w:r>
    </w:p>
    <w:p w14:paraId="72125BB5" w14:textId="77777777" w:rsidR="00991A7C" w:rsidRPr="00307C94" w:rsidRDefault="00991A7C" w:rsidP="00991A7C">
      <w:pPr>
        <w:autoSpaceDE w:val="0"/>
        <w:autoSpaceDN w:val="0"/>
        <w:adjustRightInd w:val="0"/>
        <w:spacing w:before="120" w:after="0" w:line="240" w:lineRule="auto"/>
        <w:ind w:left="708"/>
        <w:jc w:val="both"/>
        <w:rPr>
          <w:rFonts w:eastAsiaTheme="minorHAnsi"/>
          <w:i/>
          <w:sz w:val="20"/>
          <w:szCs w:val="20"/>
        </w:rPr>
      </w:pPr>
      <w:r w:rsidRPr="00307C94">
        <w:rPr>
          <w:rFonts w:eastAsiaTheme="minorHAnsi"/>
          <w:i/>
          <w:sz w:val="20"/>
          <w:szCs w:val="20"/>
        </w:rPr>
        <w:t xml:space="preserve">Hoxe, o principio de precaución aparece incorporado ao artigo 2.k) da </w:t>
      </w:r>
      <w:hyperlink r:id="rId30" w:history="1">
        <w:r w:rsidRPr="00360F6A">
          <w:rPr>
            <w:rStyle w:val="Hipervnculo"/>
            <w:rFonts w:eastAsiaTheme="minorHAnsi"/>
            <w:i/>
            <w:sz w:val="20"/>
            <w:szCs w:val="20"/>
          </w:rPr>
          <w:t>Lei 7/2021</w:t>
        </w:r>
      </w:hyperlink>
      <w:r>
        <w:rPr>
          <w:rStyle w:val="Refdenotaalpie"/>
          <w:rFonts w:eastAsiaTheme="minorHAnsi"/>
          <w:i/>
          <w:sz w:val="20"/>
          <w:szCs w:val="20"/>
        </w:rPr>
        <w:footnoteReference w:id="17"/>
      </w:r>
      <w:r w:rsidRPr="00307C94">
        <w:rPr>
          <w:rFonts w:eastAsiaTheme="minorHAnsi"/>
          <w:i/>
          <w:sz w:val="20"/>
          <w:szCs w:val="20"/>
        </w:rPr>
        <w:t>, do 20 de maio, de cambio climático e transición enerxética.</w:t>
      </w:r>
    </w:p>
    <w:p w14:paraId="45551122" w14:textId="10047746" w:rsidR="00991A7C" w:rsidRPr="00307C94" w:rsidRDefault="00991A7C" w:rsidP="00991A7C">
      <w:pPr>
        <w:autoSpaceDE w:val="0"/>
        <w:autoSpaceDN w:val="0"/>
        <w:adjustRightInd w:val="0"/>
        <w:spacing w:before="120" w:after="0" w:line="240" w:lineRule="auto"/>
        <w:ind w:left="708"/>
        <w:jc w:val="both"/>
        <w:rPr>
          <w:rFonts w:eastAsiaTheme="minorHAnsi"/>
          <w:i/>
          <w:sz w:val="20"/>
          <w:szCs w:val="20"/>
        </w:rPr>
      </w:pPr>
      <w:r w:rsidRPr="00307C94">
        <w:rPr>
          <w:rFonts w:eastAsiaTheme="minorHAnsi"/>
          <w:b/>
          <w:i/>
          <w:sz w:val="20"/>
          <w:szCs w:val="20"/>
        </w:rPr>
        <w:t>O segundo é o principio de non regresión ambiental</w:t>
      </w:r>
      <w:r w:rsidRPr="00307C94">
        <w:rPr>
          <w:rFonts w:eastAsiaTheme="minorHAnsi"/>
          <w:i/>
          <w:sz w:val="20"/>
          <w:szCs w:val="20"/>
        </w:rPr>
        <w:t>, tamén incorporado no artigo 2.l) da Lei 7/2021 citada. Consonte o preámbulo desta lei básica, “Desde el punto de vista medioambiental, este principio de no regresión se define como aquel en virtud del cual la normativa, la actividad de las Administraciones Públicas y la práctica jurisdiccional no pueden implicar una rebaja o un retroceso cuantitativo ni cualitativo respecto de los niveles de protección ambiental existentes en cada momento, salvo situaciones plenamente justificadas basadas en razones de interés público, y una vez realizado un juicio de ponderación entre los diferentes bienes jurídicos que pudieran entrar en contradicción con el ambiental”.</w:t>
      </w:r>
    </w:p>
    <w:p w14:paraId="6B7F3238" w14:textId="77777777" w:rsidR="00991A7C" w:rsidRDefault="00991A7C" w:rsidP="00991A7C">
      <w:pPr>
        <w:autoSpaceDE w:val="0"/>
        <w:autoSpaceDN w:val="0"/>
        <w:adjustRightInd w:val="0"/>
        <w:spacing w:before="120" w:after="0" w:line="240" w:lineRule="auto"/>
        <w:ind w:left="708"/>
        <w:jc w:val="both"/>
        <w:rPr>
          <w:rFonts w:eastAsiaTheme="minorHAnsi"/>
          <w:i/>
          <w:sz w:val="24"/>
          <w:szCs w:val="24"/>
        </w:rPr>
      </w:pPr>
      <w:r w:rsidRPr="00307C94">
        <w:rPr>
          <w:rFonts w:eastAsiaTheme="minorHAnsi"/>
          <w:i/>
          <w:sz w:val="20"/>
          <w:szCs w:val="20"/>
        </w:rPr>
        <w:t>Por último, é imprescindible lembrar que estes principios foron aplicados xa pola Sala do Contencioso-Administrativo do Tribunal Superior de Xustiza de Galicia como parámetros de control das autorizacións de parques eólicos, nas súas sentenzas do 11 de decembro do 2020 (STSJ GAL 6191/2020, 6192/2020 e 6193/2020, relator: Javier Cambón García)”.</w:t>
      </w:r>
    </w:p>
    <w:p w14:paraId="14B17263" w14:textId="73193FF2" w:rsidR="0049516D" w:rsidRPr="005A09CC" w:rsidRDefault="0049516D" w:rsidP="0049516D">
      <w:pPr>
        <w:spacing w:before="120" w:after="0" w:line="240" w:lineRule="auto"/>
        <w:ind w:left="709"/>
        <w:jc w:val="both"/>
        <w:rPr>
          <w:rFonts w:asciiTheme="minorHAnsi" w:eastAsiaTheme="minorHAnsi" w:hAnsiTheme="minorHAnsi" w:cstheme="minorHAnsi"/>
          <w:sz w:val="24"/>
          <w:szCs w:val="24"/>
        </w:rPr>
      </w:pPr>
      <w:r>
        <w:rPr>
          <w:rFonts w:asciiTheme="minorHAnsi" w:eastAsiaTheme="minorHAnsi" w:hAnsiTheme="minorHAnsi" w:cstheme="minorHAnsi"/>
          <w:sz w:val="24"/>
          <w:szCs w:val="24"/>
        </w:rPr>
        <w:t>E</w:t>
      </w:r>
      <w:r w:rsidRPr="005A09CC">
        <w:rPr>
          <w:rFonts w:asciiTheme="minorHAnsi" w:eastAsiaTheme="minorHAnsi" w:hAnsiTheme="minorHAnsi" w:cstheme="minorHAnsi"/>
          <w:sz w:val="24"/>
          <w:szCs w:val="24"/>
        </w:rPr>
        <w:t xml:space="preserve"> nas súas páxinas 30 e seguintes en relación ao patrimonio cultural afectado pola planificación eólica en Galicia e a instalación desordenada de estacións eólicas que:</w:t>
      </w:r>
    </w:p>
    <w:p w14:paraId="767E0EDD" w14:textId="77777777" w:rsidR="0049516D" w:rsidRPr="005A09CC" w:rsidRDefault="0049516D" w:rsidP="0049516D">
      <w:pPr>
        <w:spacing w:before="120" w:after="0" w:line="240" w:lineRule="auto"/>
        <w:ind w:left="1416"/>
        <w:jc w:val="both"/>
        <w:rPr>
          <w:rFonts w:asciiTheme="minorHAnsi" w:eastAsiaTheme="minorHAnsi" w:hAnsiTheme="minorHAnsi" w:cstheme="minorHAnsi"/>
          <w:i/>
          <w:sz w:val="20"/>
          <w:szCs w:val="20"/>
        </w:rPr>
      </w:pPr>
      <w:r w:rsidRPr="005A09CC">
        <w:rPr>
          <w:rFonts w:asciiTheme="minorHAnsi" w:eastAsiaTheme="minorHAnsi" w:hAnsiTheme="minorHAnsi" w:cstheme="minorHAnsi"/>
          <w:i/>
          <w:sz w:val="20"/>
          <w:szCs w:val="20"/>
        </w:rPr>
        <w:t xml:space="preserve">“En Galicia, dúas décadas despois da Directiva 2001/42/CE, o sector eólico continúa regulado por un plan non avaliado, no que os aspectos medioambientais (no amplo concepto de ambiente que define a directiva) non foron tidos en conta na preparación e adopción do Plan e, polo tanto, o desenvolvemento da enerxía eólica en Galicia está sometido unicamente á avaliación ambiental, insuficiente e imperfecta, do impacto dos proxectos, manténdose así o déficit de protección medioambiental que a Directiva pretendeu emendar. </w:t>
      </w:r>
    </w:p>
    <w:p w14:paraId="5D0D1863" w14:textId="77777777" w:rsidR="0049516D" w:rsidRPr="005A09CC" w:rsidRDefault="0049516D" w:rsidP="0049516D">
      <w:pPr>
        <w:spacing w:before="120" w:after="0" w:line="240" w:lineRule="auto"/>
        <w:ind w:left="1416"/>
        <w:jc w:val="both"/>
        <w:rPr>
          <w:rFonts w:asciiTheme="minorHAnsi" w:eastAsiaTheme="minorHAnsi" w:hAnsiTheme="minorHAnsi" w:cstheme="minorHAnsi"/>
          <w:i/>
          <w:sz w:val="20"/>
          <w:szCs w:val="20"/>
        </w:rPr>
      </w:pPr>
      <w:r w:rsidRPr="005A09CC">
        <w:rPr>
          <w:rFonts w:asciiTheme="minorHAnsi" w:eastAsiaTheme="minorHAnsi" w:hAnsiTheme="minorHAnsi" w:cstheme="minorHAnsi"/>
          <w:i/>
          <w:sz w:val="20"/>
          <w:szCs w:val="20"/>
        </w:rPr>
        <w:t>A elaboración do Plan sectorial eólico realizouse a partir unicamente da IDONEIDADE DAS LOCALIZACIÓNS realizada desde a análise do seu potencial eólico. Expresamente sinala o texto vixente que non se avalían nin sequera as posibles incompatibilidades entre o PSEG e outros plans e proxectos sectoriais, “xa que a amplitude das áreas incluídas nese Plan non permite esa análise” e considera que é no desenvolvemento dos proxectos específicos dos parques eólicos onde se deberá xustificar esa compatibilidade. Resulta obvio, polo tanto, sinalar que a delimitación das áreas non considerou a existencia de valores naturais, culturais e paisaxísticos nin as súas interrelacións. (…)</w:t>
      </w:r>
    </w:p>
    <w:p w14:paraId="5A6D8194" w14:textId="77777777" w:rsidR="0049516D" w:rsidRPr="005A09CC" w:rsidRDefault="0049516D" w:rsidP="0049516D">
      <w:pPr>
        <w:spacing w:before="120" w:after="0" w:line="240" w:lineRule="auto"/>
        <w:ind w:left="1416"/>
        <w:jc w:val="both"/>
        <w:rPr>
          <w:rFonts w:asciiTheme="minorHAnsi" w:eastAsiaTheme="minorHAnsi" w:hAnsiTheme="minorHAnsi" w:cstheme="minorHAnsi"/>
          <w:i/>
          <w:sz w:val="20"/>
          <w:szCs w:val="20"/>
        </w:rPr>
      </w:pPr>
      <w:r w:rsidRPr="005A09CC">
        <w:rPr>
          <w:rFonts w:asciiTheme="minorHAnsi" w:eastAsiaTheme="minorHAnsi" w:hAnsiTheme="minorHAnsi" w:cstheme="minorHAnsi"/>
          <w:i/>
          <w:sz w:val="20"/>
          <w:szCs w:val="20"/>
        </w:rPr>
        <w:t>A consideración do patrimonio cultural limitada ao patrimonio material e de natureza arqueolóxica, considerándoo ademais illadamente do seu contexto e contorno territorial, a consideración da paisaxe desde a perspectiva da perda de valores estéticos, desde a visibilidade, e a consideración deses valores do punto de vista económico están moi lonxe dos actuais paradigmas, dos conceptos e criterios establecidos na lexislación internacional e nas normativas autonómicas en relación coa paisaxe e o patrimonio cultural”.</w:t>
      </w:r>
    </w:p>
    <w:p w14:paraId="54E7CDE5" w14:textId="77777777" w:rsidR="00991A7C" w:rsidRDefault="00991A7C" w:rsidP="00D44D88">
      <w:pPr>
        <w:autoSpaceDE w:val="0"/>
        <w:spacing w:before="120" w:after="113" w:line="240" w:lineRule="auto"/>
        <w:ind w:left="567"/>
        <w:jc w:val="both"/>
        <w:rPr>
          <w:rFonts w:asciiTheme="minorHAnsi" w:hAnsiTheme="minorHAnsi" w:cstheme="minorHAnsi"/>
          <w:i/>
          <w:iCs/>
          <w:sz w:val="24"/>
          <w:szCs w:val="24"/>
        </w:rPr>
      </w:pPr>
    </w:p>
    <w:p w14:paraId="111F9E37" w14:textId="77777777" w:rsidR="00565345" w:rsidRPr="00D44D88" w:rsidRDefault="00565345" w:rsidP="00D44D88">
      <w:pPr>
        <w:pStyle w:val="Standard"/>
        <w:spacing w:before="120" w:after="113"/>
        <w:ind w:left="283" w:hanging="283"/>
        <w:jc w:val="both"/>
        <w:rPr>
          <w:rFonts w:asciiTheme="minorHAnsi" w:hAnsiTheme="minorHAnsi" w:cstheme="minorHAnsi"/>
        </w:rPr>
      </w:pPr>
      <w:r w:rsidRPr="00D44D88">
        <w:rPr>
          <w:rFonts w:asciiTheme="minorHAnsi" w:eastAsia="Calibri" w:hAnsiTheme="minorHAnsi" w:cstheme="minorHAnsi"/>
          <w:b/>
          <w:bCs/>
          <w:color w:val="000000"/>
          <w:spacing w:val="-2"/>
        </w:rPr>
        <w:lastRenderedPageBreak/>
        <w:t>9)</w:t>
      </w:r>
      <w:r w:rsidRPr="00D44D88">
        <w:rPr>
          <w:rFonts w:asciiTheme="minorHAnsi" w:eastAsia="Calibri" w:hAnsiTheme="minorHAnsi" w:cstheme="minorHAnsi"/>
          <w:color w:val="000000"/>
          <w:spacing w:val="-2"/>
        </w:rPr>
        <w:tab/>
        <w:t xml:space="preserve">O mantemento dun Plan Eólico obsoleto e sen avaliación ambiental, e a inexistencia dun programa de </w:t>
      </w:r>
      <w:r w:rsidRPr="00D44D88">
        <w:rPr>
          <w:rFonts w:asciiTheme="minorHAnsi" w:hAnsiTheme="minorHAnsi" w:cstheme="minorHAnsi"/>
        </w:rPr>
        <w:t>auditoría ambiental continua do territorio galego impide que este País dispoña do indispensable estudo e avaliación dos efectos ambientais concorrentes, sinérxicos e acumulativos de todos os parques eólicos, xa instalados ou pretendidos, incluídos os de competencia estatal.</w:t>
      </w:r>
    </w:p>
    <w:p w14:paraId="05055B82" w14:textId="77777777" w:rsidR="00565345" w:rsidRPr="00D44D88" w:rsidRDefault="00565345" w:rsidP="00D44D88">
      <w:pPr>
        <w:pStyle w:val="Standard"/>
        <w:spacing w:before="120" w:after="113"/>
        <w:ind w:left="283"/>
        <w:jc w:val="both"/>
        <w:rPr>
          <w:rFonts w:asciiTheme="minorHAnsi" w:hAnsiTheme="minorHAnsi" w:cstheme="minorHAnsi"/>
        </w:rPr>
      </w:pPr>
      <w:r w:rsidRPr="00D44D88">
        <w:rPr>
          <w:rFonts w:asciiTheme="minorHAnsi" w:hAnsiTheme="minorHAnsi" w:cstheme="minorHAnsi"/>
          <w:spacing w:val="-2"/>
        </w:rPr>
        <w:t>Pero tamén impide que este País dispoña dun modelo enerxético non depredador do territorio, xerador de enerxía distribuida, básicamente instalado no medio humano artificializado e cos mínimos efectos posibles sobre o medio rural e natural</w:t>
      </w:r>
      <w:r w:rsidRPr="00D44D88">
        <w:rPr>
          <w:rFonts w:asciiTheme="minorHAnsi" w:hAnsiTheme="minorHAnsi" w:cstheme="minorHAnsi"/>
        </w:rPr>
        <w:t>.</w:t>
      </w:r>
    </w:p>
    <w:p w14:paraId="39942E31" w14:textId="77777777" w:rsidR="00565345" w:rsidRPr="00D44D88" w:rsidRDefault="00565345" w:rsidP="00D44D88">
      <w:pPr>
        <w:pStyle w:val="Standard"/>
        <w:spacing w:before="120" w:after="113"/>
        <w:ind w:left="283"/>
        <w:jc w:val="both"/>
        <w:rPr>
          <w:rFonts w:asciiTheme="minorHAnsi" w:hAnsiTheme="minorHAnsi" w:cstheme="minorHAnsi"/>
        </w:rPr>
      </w:pPr>
      <w:r w:rsidRPr="00D44D88">
        <w:rPr>
          <w:rFonts w:asciiTheme="minorHAnsi" w:hAnsiTheme="minorHAnsi" w:cstheme="minorHAnsi"/>
          <w:spacing w:val="-4"/>
        </w:rPr>
        <w:t>Porque se trata de combatir o cambio climático, a perda galopante de biodiversidade e todos os problemas ambientais sen degradar os bens que é preciso protexer: a natureza, o territorio, o mar e a biodiversidade; os espazos naturais e os corredores ecolóxicos; o patrimonio xeolóxico; a paisaxe natural e a paisaxe cultural.</w:t>
      </w:r>
    </w:p>
    <w:p w14:paraId="04BCEED6" w14:textId="77777777" w:rsidR="00565345" w:rsidRPr="00D44D88" w:rsidRDefault="00565345" w:rsidP="00D44D88">
      <w:pPr>
        <w:pStyle w:val="Standard"/>
        <w:spacing w:before="120" w:after="113"/>
        <w:ind w:left="283"/>
        <w:jc w:val="both"/>
        <w:rPr>
          <w:rFonts w:asciiTheme="minorHAnsi" w:hAnsiTheme="minorHAnsi" w:cstheme="minorHAnsi"/>
        </w:rPr>
      </w:pPr>
      <w:r w:rsidRPr="00D44D88">
        <w:rPr>
          <w:rFonts w:asciiTheme="minorHAnsi" w:hAnsiTheme="minorHAnsi" w:cstheme="minorHAnsi"/>
          <w:spacing w:val="-4"/>
        </w:rPr>
        <w:t>Trátase de reconciliármonos coa natureza sen destruir a nosa relación histórica coa terra e co mar; as nosas vivencias e a nosa memoria; a nosa pegada histórica, arqueolóxica, etnográfica, cultural e inmaterial.</w:t>
      </w:r>
    </w:p>
    <w:p w14:paraId="5F2343D5" w14:textId="77777777" w:rsidR="00565345" w:rsidRPr="00D44D88" w:rsidRDefault="00565345" w:rsidP="00D44D88">
      <w:pPr>
        <w:pStyle w:val="Standard"/>
        <w:spacing w:before="120" w:after="113"/>
        <w:ind w:left="283"/>
        <w:jc w:val="both"/>
        <w:rPr>
          <w:rFonts w:asciiTheme="minorHAnsi" w:hAnsiTheme="minorHAnsi" w:cstheme="minorHAnsi"/>
        </w:rPr>
      </w:pPr>
      <w:r w:rsidRPr="00D44D88">
        <w:rPr>
          <w:rFonts w:asciiTheme="minorHAnsi" w:hAnsiTheme="minorHAnsi" w:cstheme="minorHAnsi"/>
          <w:spacing w:val="-4"/>
        </w:rPr>
        <w:t xml:space="preserve">E trátase de que non se destrúa a </w:t>
      </w:r>
      <w:r w:rsidRPr="00D44D88">
        <w:rPr>
          <w:rFonts w:asciiTheme="minorHAnsi" w:eastAsia="Calibri" w:hAnsiTheme="minorHAnsi" w:cstheme="minorHAnsi"/>
          <w:color w:val="000000"/>
          <w:spacing w:val="-4"/>
        </w:rPr>
        <w:t>estrutura social, económica e cultural dun rural e dun mar valiosos, cada vez máis necesarios para a nosa subsistencia, pero que están en grave declive</w:t>
      </w:r>
      <w:r w:rsidRPr="00D44D88">
        <w:rPr>
          <w:rFonts w:asciiTheme="minorHAnsi" w:eastAsia="Calibri" w:hAnsiTheme="minorHAnsi" w:cstheme="minorHAnsi"/>
          <w:color w:val="000000"/>
          <w:spacing w:val="-2"/>
        </w:rPr>
        <w:t>.</w:t>
      </w:r>
    </w:p>
    <w:p w14:paraId="66EE3624" w14:textId="77777777" w:rsidR="00565345" w:rsidRPr="00D44D88" w:rsidRDefault="00565345" w:rsidP="00D44D88">
      <w:pPr>
        <w:pStyle w:val="Standard"/>
        <w:spacing w:before="120"/>
        <w:ind w:left="283"/>
        <w:jc w:val="both"/>
        <w:rPr>
          <w:rFonts w:asciiTheme="minorHAnsi" w:eastAsia="Calibri" w:hAnsiTheme="minorHAnsi" w:cstheme="minorHAnsi"/>
          <w:b/>
          <w:color w:val="000000"/>
        </w:rPr>
      </w:pPr>
      <w:r w:rsidRPr="00D44D88">
        <w:rPr>
          <w:rFonts w:asciiTheme="minorHAnsi" w:eastAsia="Calibri" w:hAnsiTheme="minorHAnsi" w:cstheme="minorHAnsi"/>
          <w:color w:val="000000"/>
          <w:spacing w:val="-2"/>
        </w:rPr>
        <w:t>Trátase, en fin, de non loitar contra os problemas da natureza con esta e tantas outras actividades irracionais que degradan as nosas raíces: a terra e o mar que sustentan aos seres humanos e a todos os seres vivos, e que forxan a nosa identidade, e que abeiran a supervivencia mesma de Galicia como País.</w:t>
      </w:r>
    </w:p>
    <w:p w14:paraId="51218A03" w14:textId="77777777" w:rsidR="001722A7" w:rsidRDefault="001722A7" w:rsidP="00501ECF">
      <w:pPr>
        <w:pStyle w:val="Prrafodelista"/>
        <w:spacing w:before="120"/>
        <w:ind w:left="0"/>
        <w:jc w:val="both"/>
        <w:rPr>
          <w:color w:val="000000"/>
          <w:sz w:val="24"/>
          <w:szCs w:val="24"/>
        </w:rPr>
      </w:pPr>
    </w:p>
    <w:p w14:paraId="012CDA1E" w14:textId="77777777" w:rsidR="009B3A3A" w:rsidRPr="00501ECF" w:rsidRDefault="009B3A3A" w:rsidP="00501ECF">
      <w:pPr>
        <w:pStyle w:val="Default"/>
        <w:jc w:val="both"/>
        <w:rPr>
          <w:rFonts w:ascii="Calibri" w:hAnsi="Calibri" w:cs="Calibri"/>
        </w:rPr>
      </w:pPr>
    </w:p>
    <w:p w14:paraId="30B8674C" w14:textId="0E575B17" w:rsidR="009B3A3A" w:rsidRPr="004022F0" w:rsidRDefault="009B3A3A" w:rsidP="00246A53">
      <w:pPr>
        <w:pStyle w:val="Default"/>
        <w:numPr>
          <w:ilvl w:val="0"/>
          <w:numId w:val="11"/>
        </w:numPr>
        <w:shd w:val="clear" w:color="auto" w:fill="C6D9F1"/>
        <w:ind w:left="1701" w:hanging="1701"/>
        <w:jc w:val="both"/>
        <w:outlineLvl w:val="0"/>
        <w:rPr>
          <w:rFonts w:ascii="Calibri" w:hAnsi="Calibri" w:cs="Calibri"/>
          <w:b/>
          <w:bCs/>
        </w:rPr>
      </w:pPr>
      <w:bookmarkStart w:id="11" w:name="_Toc87813557"/>
      <w:bookmarkStart w:id="12" w:name="_Toc87980508"/>
      <w:bookmarkStart w:id="13" w:name="_Toc87980569"/>
      <w:bookmarkStart w:id="14" w:name="_Toc132510940"/>
      <w:r w:rsidRPr="004022F0">
        <w:rPr>
          <w:rFonts w:ascii="Calibri" w:hAnsi="Calibri" w:cs="Calibri"/>
          <w:b/>
          <w:bCs/>
        </w:rPr>
        <w:t>Fal</w:t>
      </w:r>
      <w:r w:rsidR="00844DDD">
        <w:rPr>
          <w:rFonts w:ascii="Calibri" w:hAnsi="Calibri" w:cs="Calibri"/>
          <w:b/>
          <w:bCs/>
        </w:rPr>
        <w:t>l</w:t>
      </w:r>
      <w:r w:rsidRPr="004022F0">
        <w:rPr>
          <w:rFonts w:ascii="Calibri" w:hAnsi="Calibri" w:cs="Calibri"/>
          <w:b/>
          <w:bCs/>
        </w:rPr>
        <w:t xml:space="preserve">a da preceptiva </w:t>
      </w:r>
      <w:r w:rsidRPr="004022F0">
        <w:rPr>
          <w:rFonts w:ascii="Calibri" w:hAnsi="Calibri" w:cs="Calibri"/>
          <w:b/>
          <w:bCs/>
          <w:iCs/>
        </w:rPr>
        <w:t>publicación</w:t>
      </w:r>
      <w:r w:rsidRPr="004022F0">
        <w:rPr>
          <w:rFonts w:ascii="Calibri" w:hAnsi="Calibri" w:cs="Calibri"/>
          <w:b/>
          <w:bCs/>
        </w:rPr>
        <w:t xml:space="preserve"> do anuncio de exposición a información pública do proxecto no BOE</w:t>
      </w:r>
      <w:bookmarkEnd w:id="11"/>
      <w:bookmarkEnd w:id="12"/>
      <w:bookmarkEnd w:id="13"/>
      <w:bookmarkEnd w:id="14"/>
    </w:p>
    <w:p w14:paraId="4910697C" w14:textId="77777777" w:rsidR="009B3A3A" w:rsidRPr="00501ECF" w:rsidRDefault="009B3A3A" w:rsidP="00501ECF">
      <w:pPr>
        <w:pStyle w:val="Default"/>
        <w:jc w:val="both"/>
        <w:rPr>
          <w:rFonts w:ascii="Calibri" w:hAnsi="Calibri" w:cs="Calibri"/>
        </w:rPr>
      </w:pPr>
      <w:r w:rsidRPr="00501ECF">
        <w:rPr>
          <w:rFonts w:ascii="Calibri" w:hAnsi="Calibri" w:cs="Calibri"/>
        </w:rPr>
        <w:t>Segundo o artigo 125 do RD 1955/2000 de 1 de decembro polo que se regulan as actividades de transporte, distribución, comercialización, suministro e procedementos de autorización de instalacións de enerxía eléctrica, o anuncio da exposición a información pública do proxecto tiña que ter sido publicada no BOE:</w:t>
      </w:r>
    </w:p>
    <w:p w14:paraId="15ABA589" w14:textId="77777777" w:rsidR="009B3A3A" w:rsidRPr="00501ECF" w:rsidRDefault="009B3A3A" w:rsidP="00501ECF">
      <w:pPr>
        <w:pStyle w:val="Default"/>
        <w:jc w:val="both"/>
        <w:rPr>
          <w:rFonts w:ascii="Calibri" w:hAnsi="Calibri" w:cs="Calibri"/>
        </w:rPr>
      </w:pPr>
    </w:p>
    <w:p w14:paraId="74FA2EB7" w14:textId="77777777" w:rsidR="009B3A3A" w:rsidRDefault="009B3A3A" w:rsidP="0089779C">
      <w:pPr>
        <w:pStyle w:val="Prrafodelista"/>
        <w:ind w:right="720"/>
        <w:jc w:val="both"/>
        <w:rPr>
          <w:b/>
          <w:i/>
          <w:color w:val="000000"/>
          <w:u w:val="single"/>
        </w:rPr>
      </w:pPr>
      <w:r w:rsidRPr="0089779C">
        <w:rPr>
          <w:bCs/>
          <w:i/>
          <w:color w:val="000000"/>
        </w:rPr>
        <w:t>“A</w:t>
      </w:r>
      <w:r w:rsidRPr="0089779C">
        <w:rPr>
          <w:i/>
          <w:color w:val="000000"/>
        </w:rPr>
        <w:t xml:space="preserve">s solicitudes (…) se someterán ao trámite de información pública durante o prazo de trinta días, a cuxo efecto </w:t>
      </w:r>
      <w:r w:rsidRPr="0089779C">
        <w:rPr>
          <w:i/>
          <w:color w:val="000000"/>
          <w:u w:val="single"/>
        </w:rPr>
        <w:t>se insertará un anuncio extracto das mismas no «Boletín Oficial» da provincia</w:t>
      </w:r>
      <w:r w:rsidRPr="0089779C">
        <w:rPr>
          <w:i/>
          <w:color w:val="000000"/>
        </w:rPr>
        <w:t xml:space="preserve"> respectiva ou «Diario Oficial» da Comunidade Autónoma respectiva, e </w:t>
      </w:r>
      <w:r w:rsidRPr="0089779C">
        <w:rPr>
          <w:b/>
          <w:i/>
          <w:color w:val="000000"/>
          <w:u w:val="single"/>
        </w:rPr>
        <w:t>ademáis no «Boletín Oficial do Estado».</w:t>
      </w:r>
    </w:p>
    <w:p w14:paraId="4F9BA05E" w14:textId="77777777" w:rsidR="004D6CF9" w:rsidRDefault="004D6CF9" w:rsidP="0089779C">
      <w:pPr>
        <w:pStyle w:val="Prrafodelista"/>
        <w:ind w:right="720"/>
        <w:jc w:val="both"/>
        <w:rPr>
          <w:b/>
          <w:i/>
          <w:color w:val="000000"/>
          <w:u w:val="single"/>
        </w:rPr>
      </w:pPr>
    </w:p>
    <w:p w14:paraId="1F340570" w14:textId="77777777" w:rsidR="00D11274" w:rsidRPr="0089779C" w:rsidRDefault="00D11274" w:rsidP="0089779C">
      <w:pPr>
        <w:pStyle w:val="Prrafodelista"/>
        <w:ind w:right="720"/>
        <w:jc w:val="both"/>
        <w:rPr>
          <w:b/>
          <w:i/>
          <w:color w:val="000000"/>
          <w:u w:val="single"/>
        </w:rPr>
      </w:pPr>
    </w:p>
    <w:p w14:paraId="211B47CC" w14:textId="77777777" w:rsidR="00966991" w:rsidRPr="0089779C" w:rsidRDefault="00966991" w:rsidP="00966991">
      <w:pPr>
        <w:pStyle w:val="Prrafodelista"/>
        <w:ind w:right="720"/>
        <w:jc w:val="both"/>
        <w:rPr>
          <w:b/>
          <w:i/>
          <w:color w:val="000000"/>
          <w:u w:val="single"/>
        </w:rPr>
      </w:pPr>
    </w:p>
    <w:p w14:paraId="2E9E2CC2" w14:textId="77777777" w:rsidR="00966991" w:rsidRPr="004022F0" w:rsidRDefault="00966991" w:rsidP="00966991">
      <w:pPr>
        <w:pStyle w:val="Default"/>
        <w:numPr>
          <w:ilvl w:val="0"/>
          <w:numId w:val="11"/>
        </w:numPr>
        <w:shd w:val="clear" w:color="auto" w:fill="C6D9F1"/>
        <w:spacing w:before="120"/>
        <w:ind w:left="1701" w:hanging="1635"/>
        <w:jc w:val="both"/>
        <w:outlineLvl w:val="0"/>
        <w:rPr>
          <w:rStyle w:val="markedcontent"/>
          <w:rFonts w:ascii="Calibri" w:hAnsi="Calibri" w:cs="Calibri"/>
          <w:b/>
        </w:rPr>
      </w:pPr>
      <w:bookmarkStart w:id="15" w:name="_Toc87813558"/>
      <w:bookmarkStart w:id="16" w:name="_Toc87980509"/>
      <w:bookmarkStart w:id="17" w:name="_Toc87980570"/>
      <w:bookmarkStart w:id="18" w:name="_Toc92884400"/>
      <w:bookmarkStart w:id="19" w:name="_Toc132510941"/>
      <w:r w:rsidRPr="004022F0">
        <w:rPr>
          <w:rStyle w:val="markedcontent"/>
          <w:rFonts w:ascii="Calibri" w:hAnsi="Calibri" w:cs="Calibri"/>
          <w:b/>
        </w:rPr>
        <w:t>O intento de utilización da Lei 9/2021 para deslexitimizar a lexislación medioambiental é ilegal.</w:t>
      </w:r>
      <w:bookmarkEnd w:id="15"/>
      <w:bookmarkEnd w:id="16"/>
      <w:bookmarkEnd w:id="17"/>
      <w:bookmarkEnd w:id="18"/>
      <w:bookmarkEnd w:id="19"/>
    </w:p>
    <w:p w14:paraId="0527EB8B" w14:textId="77777777" w:rsidR="00966991" w:rsidRPr="00501ECF" w:rsidRDefault="00966991" w:rsidP="00966991">
      <w:pPr>
        <w:spacing w:after="0" w:line="240" w:lineRule="auto"/>
        <w:jc w:val="both"/>
        <w:rPr>
          <w:rStyle w:val="markedcontent"/>
          <w:rFonts w:cs="Calibri"/>
          <w:b/>
          <w:color w:val="000000"/>
          <w:sz w:val="24"/>
          <w:szCs w:val="24"/>
        </w:rPr>
      </w:pPr>
    </w:p>
    <w:p w14:paraId="6783D789" w14:textId="77777777" w:rsidR="00966991" w:rsidRPr="009C7705" w:rsidRDefault="00966991" w:rsidP="00966991">
      <w:pPr>
        <w:jc w:val="both"/>
        <w:rPr>
          <w:rFonts w:asciiTheme="minorHAnsi" w:hAnsiTheme="minorHAnsi" w:cstheme="minorHAnsi"/>
          <w:b/>
          <w:bCs/>
          <w:sz w:val="24"/>
          <w:szCs w:val="24"/>
        </w:rPr>
      </w:pPr>
      <w:r w:rsidRPr="009C7705">
        <w:rPr>
          <w:b/>
        </w:rPr>
        <w:t>A utilización da Lei 5/2017 para reducir todos os prazos do procedemento á metade elude a normativa internacional, europea e estatal en materia de medio ambiente e agrava os indicios de Fraude de Lei</w:t>
      </w:r>
      <w:r>
        <w:rPr>
          <w:b/>
        </w:rPr>
        <w:t>.</w:t>
      </w:r>
    </w:p>
    <w:p w14:paraId="47F08AC5" w14:textId="77777777" w:rsidR="00966991" w:rsidRPr="009C7705" w:rsidRDefault="00966991" w:rsidP="00966991">
      <w:pPr>
        <w:pStyle w:val="Standard"/>
        <w:spacing w:before="120" w:after="170"/>
        <w:jc w:val="both"/>
        <w:rPr>
          <w:rFonts w:asciiTheme="minorHAnsi" w:eastAsia="Calibri" w:hAnsiTheme="minorHAnsi" w:cstheme="minorHAnsi"/>
        </w:rPr>
      </w:pPr>
      <w:r w:rsidRPr="009C7705">
        <w:rPr>
          <w:rFonts w:asciiTheme="minorHAnsi" w:eastAsia="Calibri" w:hAnsiTheme="minorHAnsi" w:cstheme="minorHAnsi"/>
        </w:rPr>
        <w:t>Alén do prazo de información pública de 15 días, a Xunta de Galicia utiliza a Lei 5/2017 (do FIIE) para  invocar a Lei 30/2015 (do PACAP) e reducir</w:t>
      </w:r>
      <w:r w:rsidRPr="009C7705">
        <w:rPr>
          <w:rFonts w:asciiTheme="minorHAnsi" w:eastAsia="Calibri" w:hAnsiTheme="minorHAnsi" w:cstheme="minorHAnsi"/>
          <w:b/>
          <w:bCs/>
        </w:rPr>
        <w:t xml:space="preserve"> todos os prazos de tramitación</w:t>
      </w:r>
      <w:r w:rsidRPr="009C7705">
        <w:rPr>
          <w:rFonts w:asciiTheme="minorHAnsi" w:eastAsia="Calibri" w:hAnsiTheme="minorHAnsi" w:cstheme="minorHAnsi"/>
        </w:rPr>
        <w:t xml:space="preserve"> do proxecto á metade.</w:t>
      </w:r>
    </w:p>
    <w:p w14:paraId="720885E6" w14:textId="77777777" w:rsidR="00966991" w:rsidRPr="009C7705" w:rsidRDefault="00966991" w:rsidP="00966991">
      <w:pPr>
        <w:pStyle w:val="Standard"/>
        <w:spacing w:before="120" w:after="170"/>
        <w:jc w:val="both"/>
        <w:rPr>
          <w:rFonts w:asciiTheme="minorHAnsi" w:eastAsia="Calibri" w:hAnsiTheme="minorHAnsi" w:cstheme="minorHAnsi"/>
        </w:rPr>
      </w:pPr>
      <w:r w:rsidRPr="009C7705">
        <w:rPr>
          <w:rFonts w:asciiTheme="minorHAnsi" w:eastAsia="Calibri" w:hAnsiTheme="minorHAnsi" w:cstheme="minorHAnsi"/>
          <w:spacing w:val="-2"/>
        </w:rPr>
        <w:lastRenderedPageBreak/>
        <w:t>Isto comprende todos os actos de estudo, control e redacción, e todos os intercambios e reclamacións de información entre os axentes do procedemento: órganos promotor, substantivo e ambiental, administracións públicas afectadas e persoas afectadas e interesadas</w:t>
      </w:r>
      <w:r w:rsidRPr="009C7705">
        <w:rPr>
          <w:rFonts w:asciiTheme="minorHAnsi" w:eastAsia="Calibri" w:hAnsiTheme="minorHAnsi" w:cstheme="minorHAnsi"/>
        </w:rPr>
        <w:t>.</w:t>
      </w:r>
    </w:p>
    <w:p w14:paraId="4C05BCB1" w14:textId="77777777" w:rsidR="00966991" w:rsidRPr="009C7705" w:rsidRDefault="00966991" w:rsidP="00966991">
      <w:pPr>
        <w:pStyle w:val="Standard"/>
        <w:spacing w:before="120" w:after="113"/>
        <w:jc w:val="both"/>
        <w:rPr>
          <w:rFonts w:asciiTheme="minorHAnsi" w:eastAsia="Calibri" w:hAnsiTheme="minorHAnsi" w:cstheme="minorHAnsi"/>
        </w:rPr>
      </w:pPr>
      <w:r w:rsidRPr="009C7705">
        <w:rPr>
          <w:rFonts w:asciiTheme="minorHAnsi" w:eastAsia="Calibri" w:hAnsiTheme="minorHAnsi" w:cstheme="minorHAnsi"/>
        </w:rPr>
        <w:t>O mecanismo utilizado pola Xunta xa foi detallado na nosa alegación sobre o prazo de 15 días de exposicón pública e alegacións, e foi o seguinte:</w:t>
      </w:r>
    </w:p>
    <w:p w14:paraId="1324C0F9" w14:textId="77777777" w:rsidR="00966991" w:rsidRPr="009C7705" w:rsidRDefault="00966991" w:rsidP="00DD30C9">
      <w:pPr>
        <w:pStyle w:val="Textbody"/>
        <w:widowControl w:val="0"/>
        <w:numPr>
          <w:ilvl w:val="0"/>
          <w:numId w:val="27"/>
        </w:numPr>
        <w:spacing w:before="120" w:after="113" w:line="240" w:lineRule="auto"/>
        <w:ind w:left="567" w:hanging="567"/>
        <w:jc w:val="both"/>
        <w:textAlignment w:val="auto"/>
        <w:rPr>
          <w:rFonts w:asciiTheme="minorHAnsi" w:eastAsia="Andale Sans UI" w:hAnsiTheme="minorHAnsi" w:cstheme="minorHAnsi"/>
        </w:rPr>
      </w:pPr>
      <w:r w:rsidRPr="009C7705">
        <w:rPr>
          <w:rFonts w:asciiTheme="minorHAnsi" w:hAnsiTheme="minorHAnsi" w:cstheme="minorHAnsi"/>
          <w:b/>
          <w:bCs/>
        </w:rPr>
        <w:t>Lei 5/2017</w:t>
      </w:r>
      <w:r w:rsidRPr="009C7705">
        <w:rPr>
          <w:rFonts w:asciiTheme="minorHAnsi" w:hAnsiTheme="minorHAnsi" w:cstheme="minorHAnsi"/>
        </w:rPr>
        <w:t xml:space="preserve"> (GAL) do (FIIE), artigos 43 e 44, para declarar a </w:t>
      </w:r>
      <w:r w:rsidRPr="009C7705">
        <w:rPr>
          <w:rFonts w:asciiTheme="minorHAnsi" w:hAnsiTheme="minorHAnsi" w:cstheme="minorHAnsi"/>
          <w:b/>
          <w:bCs/>
        </w:rPr>
        <w:t>iniciativa empresarial prioritaria (IEP);</w:t>
      </w:r>
    </w:p>
    <w:p w14:paraId="040BCECD" w14:textId="77777777" w:rsidR="00966991" w:rsidRPr="009C7705" w:rsidRDefault="00966991" w:rsidP="00DD30C9">
      <w:pPr>
        <w:pStyle w:val="Textbody"/>
        <w:widowControl w:val="0"/>
        <w:numPr>
          <w:ilvl w:val="0"/>
          <w:numId w:val="27"/>
        </w:numPr>
        <w:spacing w:before="120" w:after="113" w:line="240" w:lineRule="auto"/>
        <w:ind w:left="567" w:hanging="567"/>
        <w:jc w:val="both"/>
        <w:textAlignment w:val="auto"/>
        <w:rPr>
          <w:rFonts w:asciiTheme="minorHAnsi" w:hAnsiTheme="minorHAnsi" w:cstheme="minorHAnsi"/>
        </w:rPr>
      </w:pPr>
      <w:r w:rsidRPr="009C7705">
        <w:rPr>
          <w:rFonts w:asciiTheme="minorHAnsi" w:hAnsiTheme="minorHAnsi" w:cstheme="minorHAnsi"/>
          <w:b/>
          <w:bCs/>
          <w:spacing w:val="-4"/>
        </w:rPr>
        <w:t>Lei 5/2017,</w:t>
      </w:r>
      <w:r w:rsidRPr="009C7705">
        <w:rPr>
          <w:rFonts w:asciiTheme="minorHAnsi" w:hAnsiTheme="minorHAnsi" w:cstheme="minorHAnsi"/>
          <w:spacing w:val="-4"/>
        </w:rPr>
        <w:t xml:space="preserve"> artigos 8 e 45, para invocar o artigo 33 da </w:t>
      </w:r>
      <w:r w:rsidRPr="009C7705">
        <w:rPr>
          <w:rFonts w:asciiTheme="minorHAnsi" w:hAnsiTheme="minorHAnsi" w:cstheme="minorHAnsi"/>
          <w:b/>
          <w:bCs/>
          <w:spacing w:val="-4"/>
        </w:rPr>
        <w:t>Lei 39/2015</w:t>
      </w:r>
      <w:r w:rsidRPr="009C7705">
        <w:rPr>
          <w:rFonts w:asciiTheme="minorHAnsi" w:hAnsiTheme="minorHAnsi" w:cstheme="minorHAnsi"/>
          <w:spacing w:val="-4"/>
        </w:rPr>
        <w:t xml:space="preserve"> e declarar a </w:t>
      </w:r>
      <w:r w:rsidRPr="009C7705">
        <w:rPr>
          <w:rFonts w:asciiTheme="minorHAnsi" w:hAnsiTheme="minorHAnsi" w:cstheme="minorHAnsi"/>
          <w:b/>
          <w:bCs/>
          <w:spacing w:val="-4"/>
        </w:rPr>
        <w:t>tramitación de urxencia;</w:t>
      </w:r>
    </w:p>
    <w:p w14:paraId="540946BE" w14:textId="77777777" w:rsidR="00966991" w:rsidRPr="009C7705" w:rsidRDefault="00966991" w:rsidP="00DD30C9">
      <w:pPr>
        <w:pStyle w:val="Textbody"/>
        <w:widowControl w:val="0"/>
        <w:numPr>
          <w:ilvl w:val="0"/>
          <w:numId w:val="27"/>
        </w:numPr>
        <w:spacing w:before="120" w:after="170" w:line="240" w:lineRule="auto"/>
        <w:ind w:left="567" w:hanging="567"/>
        <w:jc w:val="both"/>
        <w:textAlignment w:val="auto"/>
        <w:rPr>
          <w:rFonts w:asciiTheme="minorHAnsi" w:hAnsiTheme="minorHAnsi" w:cstheme="minorHAnsi"/>
        </w:rPr>
      </w:pPr>
      <w:r w:rsidRPr="009C7705">
        <w:rPr>
          <w:rFonts w:asciiTheme="minorHAnsi" w:hAnsiTheme="minorHAnsi" w:cstheme="minorHAnsi"/>
          <w:spacing w:val="-4"/>
        </w:rPr>
        <w:t xml:space="preserve">Aplicación da tramitación de urxencia para </w:t>
      </w:r>
      <w:r w:rsidRPr="009C7705">
        <w:rPr>
          <w:rFonts w:asciiTheme="minorHAnsi" w:eastAsia="Calibri" w:hAnsiTheme="minorHAnsi" w:cstheme="minorHAnsi"/>
          <w:spacing w:val="-4"/>
        </w:rPr>
        <w:t>reducir á metade todos os prazos do procedemento</w:t>
      </w:r>
    </w:p>
    <w:p w14:paraId="02EBD0AD" w14:textId="77777777" w:rsidR="00966991" w:rsidRPr="009C7705" w:rsidRDefault="00966991" w:rsidP="00966991">
      <w:pPr>
        <w:pStyle w:val="Textbody"/>
        <w:spacing w:before="120" w:after="113" w:line="240" w:lineRule="auto"/>
        <w:ind w:left="567" w:hanging="567"/>
        <w:jc w:val="both"/>
        <w:rPr>
          <w:rFonts w:asciiTheme="minorHAnsi" w:hAnsiTheme="minorHAnsi" w:cstheme="minorHAnsi"/>
        </w:rPr>
      </w:pPr>
      <w:r w:rsidRPr="009C7705">
        <w:rPr>
          <w:rFonts w:asciiTheme="minorHAnsi" w:hAnsiTheme="minorHAnsi" w:cstheme="minorHAnsi"/>
          <w:spacing w:val="-2"/>
        </w:rPr>
        <w:t>Reiteramos o xa expresado na alegación ao prazo de 15 días para extendelo a todos os prazos de tramitación</w:t>
      </w:r>
      <w:r w:rsidRPr="009C7705">
        <w:rPr>
          <w:rFonts w:asciiTheme="minorHAnsi" w:hAnsiTheme="minorHAnsi" w:cstheme="minorHAnsi"/>
        </w:rPr>
        <w:t>:</w:t>
      </w:r>
    </w:p>
    <w:p w14:paraId="2BB134AC" w14:textId="77777777" w:rsidR="00966991" w:rsidRPr="009C7705" w:rsidRDefault="00966991" w:rsidP="00DD30C9">
      <w:pPr>
        <w:pStyle w:val="Textbody"/>
        <w:widowControl w:val="0"/>
        <w:numPr>
          <w:ilvl w:val="0"/>
          <w:numId w:val="28"/>
        </w:numPr>
        <w:spacing w:before="120" w:after="113" w:line="240" w:lineRule="auto"/>
        <w:ind w:left="567" w:hanging="567"/>
        <w:jc w:val="both"/>
        <w:textAlignment w:val="auto"/>
        <w:rPr>
          <w:rFonts w:asciiTheme="minorHAnsi" w:hAnsiTheme="minorHAnsi" w:cstheme="minorHAnsi"/>
        </w:rPr>
      </w:pPr>
      <w:r w:rsidRPr="009C7705">
        <w:rPr>
          <w:rFonts w:asciiTheme="minorHAnsi" w:hAnsiTheme="minorHAnsi" w:cstheme="minorHAnsi"/>
        </w:rPr>
        <w:t xml:space="preserve">A </w:t>
      </w:r>
      <w:r w:rsidRPr="009C7705">
        <w:rPr>
          <w:rFonts w:asciiTheme="minorHAnsi" w:hAnsiTheme="minorHAnsi" w:cstheme="minorHAnsi"/>
          <w:b/>
          <w:bCs/>
        </w:rPr>
        <w:t>Lei 39/2015</w:t>
      </w:r>
      <w:r w:rsidRPr="009C7705">
        <w:rPr>
          <w:rFonts w:asciiTheme="minorHAnsi" w:hAnsiTheme="minorHAnsi" w:cstheme="minorHAnsi"/>
        </w:rPr>
        <w:t xml:space="preserve"> (ES), do PACAP, e a </w:t>
      </w:r>
      <w:r w:rsidRPr="009C7705">
        <w:rPr>
          <w:rFonts w:asciiTheme="minorHAnsi" w:hAnsiTheme="minorHAnsi" w:cstheme="minorHAnsi"/>
          <w:b/>
          <w:bCs/>
        </w:rPr>
        <w:t>Lei 5/2017</w:t>
      </w:r>
      <w:r w:rsidRPr="009C7705">
        <w:rPr>
          <w:rFonts w:asciiTheme="minorHAnsi" w:hAnsiTheme="minorHAnsi" w:cstheme="minorHAnsi"/>
        </w:rPr>
        <w:t xml:space="preserve"> (GAL), do FIIE, están sometidas, en materia de medio ambiente, ás determinacións do </w:t>
      </w:r>
      <w:r w:rsidRPr="009C7705">
        <w:rPr>
          <w:rFonts w:asciiTheme="minorHAnsi" w:hAnsiTheme="minorHAnsi" w:cstheme="minorHAnsi"/>
          <w:b/>
          <w:bCs/>
        </w:rPr>
        <w:t>Convenio de Aarhus</w:t>
      </w:r>
      <w:r w:rsidRPr="009C7705">
        <w:rPr>
          <w:rFonts w:asciiTheme="minorHAnsi" w:hAnsiTheme="minorHAnsi" w:cstheme="minorHAnsi"/>
        </w:rPr>
        <w:t xml:space="preserve">; da </w:t>
      </w:r>
      <w:r w:rsidRPr="009C7705">
        <w:rPr>
          <w:rFonts w:asciiTheme="minorHAnsi" w:hAnsiTheme="minorHAnsi" w:cstheme="minorHAnsi"/>
          <w:b/>
          <w:bCs/>
        </w:rPr>
        <w:t>Directiva 2003/35/CE</w:t>
      </w:r>
      <w:r w:rsidRPr="009C7705">
        <w:rPr>
          <w:rFonts w:asciiTheme="minorHAnsi" w:hAnsiTheme="minorHAnsi" w:cstheme="minorHAnsi"/>
        </w:rPr>
        <w:t xml:space="preserve">, de Participación Pública e Acceso á Xustiza; das </w:t>
      </w:r>
      <w:r w:rsidRPr="009C7705">
        <w:rPr>
          <w:rFonts w:asciiTheme="minorHAnsi" w:hAnsiTheme="minorHAnsi" w:cstheme="minorHAnsi"/>
          <w:b/>
          <w:bCs/>
        </w:rPr>
        <w:t>Directivas 2011/92/UE e 2001/42/CE</w:t>
      </w:r>
      <w:r w:rsidRPr="009C7705">
        <w:rPr>
          <w:rFonts w:asciiTheme="minorHAnsi" w:hAnsiTheme="minorHAnsi" w:cstheme="minorHAnsi"/>
        </w:rPr>
        <w:t xml:space="preserve">, de Avaliación Ambiental; e da </w:t>
      </w:r>
      <w:r w:rsidRPr="009C7705">
        <w:rPr>
          <w:rFonts w:asciiTheme="minorHAnsi" w:hAnsiTheme="minorHAnsi" w:cstheme="minorHAnsi"/>
          <w:b/>
          <w:bCs/>
        </w:rPr>
        <w:t>Lei básica estatal 21/2013</w:t>
      </w:r>
      <w:r w:rsidRPr="009C7705">
        <w:rPr>
          <w:rFonts w:asciiTheme="minorHAnsi" w:hAnsiTheme="minorHAnsi" w:cstheme="minorHAnsi"/>
        </w:rPr>
        <w:t xml:space="preserve"> de Avaliación Ambiental, normas todas elas de obrigado cumprimento.</w:t>
      </w:r>
    </w:p>
    <w:p w14:paraId="483E6A53" w14:textId="77777777" w:rsidR="00966991" w:rsidRPr="009C7705" w:rsidRDefault="00966991" w:rsidP="00966991">
      <w:pPr>
        <w:pStyle w:val="Textbody"/>
        <w:spacing w:before="120" w:after="113" w:line="240" w:lineRule="auto"/>
        <w:ind w:left="567"/>
        <w:jc w:val="both"/>
        <w:rPr>
          <w:rFonts w:asciiTheme="minorHAnsi" w:hAnsiTheme="minorHAnsi" w:cstheme="minorHAnsi"/>
        </w:rPr>
      </w:pPr>
      <w:r w:rsidRPr="009C7705">
        <w:rPr>
          <w:rFonts w:asciiTheme="minorHAnsi" w:hAnsiTheme="minorHAnsi" w:cstheme="minorHAnsi"/>
        </w:rPr>
        <w:t>As Leis estatais e as Leis autonómicas só teñen a facultade de ir alén das Directivas e das Leis básicas estatais, respectivamente, para establecer medidas de protección ambiental máis estrictas.</w:t>
      </w:r>
    </w:p>
    <w:p w14:paraId="1D81D9B5" w14:textId="77777777" w:rsidR="00966991" w:rsidRPr="009C7705" w:rsidRDefault="00966991" w:rsidP="00DD30C9">
      <w:pPr>
        <w:pStyle w:val="Standard"/>
        <w:widowControl w:val="0"/>
        <w:numPr>
          <w:ilvl w:val="0"/>
          <w:numId w:val="28"/>
        </w:numPr>
        <w:spacing w:before="120" w:after="113"/>
        <w:ind w:left="567" w:hanging="567"/>
        <w:jc w:val="both"/>
        <w:textAlignment w:val="auto"/>
        <w:rPr>
          <w:rFonts w:asciiTheme="minorHAnsi" w:eastAsia="Calibri" w:hAnsiTheme="minorHAnsi" w:cstheme="minorHAnsi"/>
        </w:rPr>
      </w:pPr>
      <w:r w:rsidRPr="009C7705">
        <w:rPr>
          <w:rFonts w:asciiTheme="minorHAnsi" w:eastAsia="Calibri" w:hAnsiTheme="minorHAnsi" w:cstheme="minorHAnsi"/>
          <w:spacing w:val="-4"/>
        </w:rPr>
        <w:t xml:space="preserve">Temos que indicar, ademáis, que o  </w:t>
      </w:r>
      <w:r w:rsidRPr="009C7705">
        <w:rPr>
          <w:rFonts w:asciiTheme="minorHAnsi" w:eastAsia="Calibri" w:hAnsiTheme="minorHAnsi" w:cstheme="minorHAnsi"/>
          <w:b/>
          <w:bCs/>
          <w:spacing w:val="-4"/>
        </w:rPr>
        <w:t>Convenio de Aarhus</w:t>
      </w:r>
      <w:r w:rsidRPr="009C7705">
        <w:rPr>
          <w:rFonts w:asciiTheme="minorHAnsi" w:eastAsia="Calibri" w:hAnsiTheme="minorHAnsi" w:cstheme="minorHAnsi"/>
          <w:spacing w:val="-4"/>
        </w:rPr>
        <w:t xml:space="preserve">; as </w:t>
      </w:r>
      <w:r w:rsidRPr="009C7705">
        <w:rPr>
          <w:rFonts w:asciiTheme="minorHAnsi" w:eastAsia="Calibri" w:hAnsiTheme="minorHAnsi" w:cstheme="minorHAnsi"/>
          <w:b/>
          <w:bCs/>
          <w:spacing w:val="-4"/>
        </w:rPr>
        <w:t>Directivas</w:t>
      </w:r>
      <w:r w:rsidRPr="009C7705">
        <w:rPr>
          <w:rFonts w:asciiTheme="minorHAnsi" w:eastAsia="Calibri" w:hAnsiTheme="minorHAnsi" w:cstheme="minorHAnsi"/>
          <w:spacing w:val="-4"/>
        </w:rPr>
        <w:t xml:space="preserve"> sobre o Dereito á Información, a  Participación Pública e o Acceso á Xustiza; as </w:t>
      </w:r>
      <w:r w:rsidRPr="009C7705">
        <w:rPr>
          <w:rFonts w:asciiTheme="minorHAnsi" w:eastAsia="Calibri" w:hAnsiTheme="minorHAnsi" w:cstheme="minorHAnsi"/>
          <w:b/>
          <w:bCs/>
          <w:spacing w:val="-4"/>
        </w:rPr>
        <w:t xml:space="preserve">Directivas </w:t>
      </w:r>
      <w:r w:rsidRPr="009C7705">
        <w:rPr>
          <w:rFonts w:asciiTheme="minorHAnsi" w:eastAsia="Calibri" w:hAnsiTheme="minorHAnsi" w:cstheme="minorHAnsi"/>
          <w:spacing w:val="-4"/>
        </w:rPr>
        <w:t xml:space="preserve">de Avaliación Ambiental; e a </w:t>
      </w:r>
      <w:r w:rsidRPr="009C7705">
        <w:rPr>
          <w:rFonts w:asciiTheme="minorHAnsi" w:eastAsia="Calibri" w:hAnsiTheme="minorHAnsi" w:cstheme="minorHAnsi"/>
          <w:b/>
          <w:bCs/>
          <w:spacing w:val="-4"/>
        </w:rPr>
        <w:t xml:space="preserve">Lei básica estatal </w:t>
      </w:r>
      <w:r w:rsidRPr="009C7705">
        <w:rPr>
          <w:rFonts w:asciiTheme="minorHAnsi" w:eastAsia="Calibri" w:hAnsiTheme="minorHAnsi" w:cstheme="minorHAnsi"/>
          <w:spacing w:val="-4"/>
        </w:rPr>
        <w:t>de Avaliación Ambiental non contemplan prazos de urxencia na tramitación de procedementos que poidan afectar ao medio ambiente. Só contemplan a súa non aplicación, total ou parcial, en casos e situacións concretas de urxencia real, como un asunto de defensa nacional, un problema de seguridade pública ou un estado de calamidade pública.</w:t>
      </w:r>
    </w:p>
    <w:p w14:paraId="1989A948" w14:textId="77777777" w:rsidR="00966991" w:rsidRPr="009C7705" w:rsidRDefault="00966991" w:rsidP="00DD30C9">
      <w:pPr>
        <w:pStyle w:val="Textbody"/>
        <w:widowControl w:val="0"/>
        <w:numPr>
          <w:ilvl w:val="0"/>
          <w:numId w:val="28"/>
        </w:numPr>
        <w:spacing w:before="120" w:after="113" w:line="240" w:lineRule="auto"/>
        <w:ind w:left="567" w:hanging="567"/>
        <w:jc w:val="both"/>
        <w:textAlignment w:val="auto"/>
        <w:rPr>
          <w:rFonts w:asciiTheme="minorHAnsi" w:eastAsia="Andale Sans UI" w:hAnsiTheme="minorHAnsi" w:cstheme="minorHAnsi"/>
        </w:rPr>
      </w:pPr>
      <w:r w:rsidRPr="009C7705">
        <w:rPr>
          <w:rFonts w:asciiTheme="minorHAnsi" w:hAnsiTheme="minorHAnsi" w:cstheme="minorHAnsi"/>
          <w:spacing w:val="-2"/>
        </w:rPr>
        <w:t>Polo tanto, as dúas primeiras normas citadas non poden ser utilizadas para eludir as restantes, menoscabando e degradando o debido proceso de tramitación, a participación pública e a protección do medio ambiente</w:t>
      </w:r>
      <w:r w:rsidRPr="009C7705">
        <w:rPr>
          <w:rFonts w:asciiTheme="minorHAnsi" w:hAnsiTheme="minorHAnsi" w:cstheme="minorHAnsi"/>
        </w:rPr>
        <w:t>.</w:t>
      </w:r>
    </w:p>
    <w:p w14:paraId="512FEF4B" w14:textId="77777777" w:rsidR="00966991" w:rsidRPr="009C7705" w:rsidRDefault="00966991" w:rsidP="00DD30C9">
      <w:pPr>
        <w:pStyle w:val="Textbody"/>
        <w:widowControl w:val="0"/>
        <w:numPr>
          <w:ilvl w:val="0"/>
          <w:numId w:val="28"/>
        </w:numPr>
        <w:spacing w:before="120" w:after="0" w:line="240" w:lineRule="auto"/>
        <w:ind w:left="567" w:hanging="567"/>
        <w:jc w:val="both"/>
        <w:textAlignment w:val="auto"/>
        <w:rPr>
          <w:rFonts w:asciiTheme="minorHAnsi" w:hAnsiTheme="minorHAnsi" w:cstheme="minorHAnsi"/>
        </w:rPr>
      </w:pPr>
      <w:r w:rsidRPr="009C7705">
        <w:rPr>
          <w:rFonts w:asciiTheme="minorHAnsi" w:eastAsia="Calibri" w:hAnsiTheme="minorHAnsi" w:cstheme="minorHAnsi"/>
        </w:rPr>
        <w:t xml:space="preserve">Dado que ése foi exactamente o proceder da Xunta de Galicia, a redución de todos os prazos de tramitación á metade convirte toda a tramitación nun intento de simulacro xustificativo da aprobación do proxecto e agrava os indicios de </w:t>
      </w:r>
      <w:r w:rsidRPr="009C7705">
        <w:rPr>
          <w:rFonts w:asciiTheme="minorHAnsi" w:eastAsia="Calibri" w:hAnsiTheme="minorHAnsi" w:cstheme="minorHAnsi"/>
          <w:b/>
          <w:bCs/>
        </w:rPr>
        <w:t>Fraude de Lei</w:t>
      </w:r>
      <w:r w:rsidRPr="009C7705">
        <w:rPr>
          <w:rFonts w:asciiTheme="minorHAnsi" w:eastAsia="Calibri" w:hAnsiTheme="minorHAnsi" w:cstheme="minorHAnsi"/>
        </w:rPr>
        <w:t>.</w:t>
      </w:r>
    </w:p>
    <w:p w14:paraId="36FBFCAB" w14:textId="77777777" w:rsidR="00966991" w:rsidRDefault="00966991" w:rsidP="00966991">
      <w:pPr>
        <w:pStyle w:val="Prrafodelista"/>
        <w:ind w:left="567" w:hanging="567"/>
        <w:jc w:val="both"/>
        <w:rPr>
          <w:rStyle w:val="markedcontent"/>
          <w:rFonts w:cs="Calibri"/>
          <w:color w:val="000000"/>
          <w:sz w:val="24"/>
          <w:szCs w:val="24"/>
        </w:rPr>
      </w:pPr>
    </w:p>
    <w:p w14:paraId="7C18FF96" w14:textId="77777777" w:rsidR="00966991" w:rsidRPr="00501ECF" w:rsidRDefault="00966991" w:rsidP="00966991">
      <w:pPr>
        <w:pStyle w:val="Prrafodelista"/>
        <w:ind w:left="0"/>
        <w:jc w:val="both"/>
        <w:rPr>
          <w:rStyle w:val="markedcontent"/>
          <w:rFonts w:cs="Calibri"/>
          <w:color w:val="000000"/>
          <w:sz w:val="24"/>
          <w:szCs w:val="24"/>
        </w:rPr>
      </w:pPr>
      <w:r w:rsidRPr="00501ECF">
        <w:rPr>
          <w:rStyle w:val="markedcontent"/>
          <w:rFonts w:cs="Calibri"/>
          <w:color w:val="000000"/>
          <w:sz w:val="24"/>
          <w:szCs w:val="24"/>
        </w:rPr>
        <w:t>O preámbulo da Lei 9/2021, de 25 de febrero de simplificación administrativa e de apoio á reactivación económica de Galicia di:</w:t>
      </w:r>
    </w:p>
    <w:p w14:paraId="66122B08" w14:textId="77777777" w:rsidR="00966991" w:rsidRPr="00501ECF" w:rsidRDefault="00966991" w:rsidP="00966991">
      <w:pPr>
        <w:pStyle w:val="Prrafodelista"/>
        <w:ind w:left="0"/>
        <w:jc w:val="both"/>
        <w:rPr>
          <w:rStyle w:val="markedcontent"/>
          <w:rFonts w:cs="Calibri"/>
          <w:color w:val="000000"/>
          <w:sz w:val="24"/>
          <w:szCs w:val="24"/>
        </w:rPr>
      </w:pPr>
    </w:p>
    <w:p w14:paraId="6209B064" w14:textId="77777777" w:rsidR="00966991" w:rsidRPr="0089779C" w:rsidRDefault="00966991" w:rsidP="00966991">
      <w:pPr>
        <w:pStyle w:val="NormalWeb"/>
        <w:shd w:val="clear" w:color="auto" w:fill="FFFFFF"/>
        <w:spacing w:before="0" w:beforeAutospacing="0" w:after="0" w:afterAutospacing="0"/>
        <w:ind w:left="540" w:right="720"/>
        <w:jc w:val="both"/>
        <w:rPr>
          <w:rFonts w:ascii="Calibri" w:hAnsi="Calibri" w:cs="Calibri"/>
          <w:b/>
          <w:i/>
          <w:color w:val="000000"/>
          <w:sz w:val="22"/>
          <w:szCs w:val="22"/>
        </w:rPr>
      </w:pPr>
      <w:r w:rsidRPr="0089779C">
        <w:rPr>
          <w:rFonts w:ascii="Calibri" w:hAnsi="Calibri" w:cs="Calibri"/>
          <w:b/>
          <w:color w:val="000000"/>
          <w:sz w:val="22"/>
          <w:szCs w:val="22"/>
          <w:u w:val="single"/>
        </w:rPr>
        <w:t>“Desde esta perspectiva, la norma es absolutamente respetuosa con todos los valores culturales, paisajísticos, naturales y ambientales, entre otros, que afectan al territorio, de forma que no se ha eliminado ningún trámite de información pública, de audiencia o de informe</w:t>
      </w:r>
      <w:r w:rsidRPr="0089779C">
        <w:rPr>
          <w:rFonts w:ascii="Calibri" w:hAnsi="Calibri" w:cs="Calibri"/>
          <w:b/>
          <w:i/>
          <w:color w:val="000000"/>
          <w:sz w:val="22"/>
          <w:szCs w:val="22"/>
        </w:rPr>
        <w:t xml:space="preserve">. La ley pretende dar certezas sobre los informes necesarios para el establecimiento de un proyecto o de una empresa, sobre los plazos y sobre los órganos intervinientes, </w:t>
      </w:r>
      <w:r w:rsidRPr="0089779C">
        <w:rPr>
          <w:rFonts w:ascii="Calibri" w:hAnsi="Calibri" w:cs="Calibri"/>
          <w:b/>
          <w:i/>
          <w:color w:val="000000"/>
          <w:sz w:val="22"/>
          <w:szCs w:val="22"/>
          <w:u w:val="single"/>
        </w:rPr>
        <w:t>pero no desregular los mecanismos de protección</w:t>
      </w:r>
      <w:r w:rsidRPr="0089779C">
        <w:rPr>
          <w:rFonts w:ascii="Calibri" w:hAnsi="Calibri" w:cs="Calibri"/>
          <w:b/>
          <w:i/>
          <w:color w:val="000000"/>
          <w:sz w:val="22"/>
          <w:szCs w:val="22"/>
        </w:rPr>
        <w:t>.</w:t>
      </w:r>
    </w:p>
    <w:p w14:paraId="28C0C80B" w14:textId="77777777" w:rsidR="00966991" w:rsidRPr="0089779C" w:rsidRDefault="00966991" w:rsidP="00966991">
      <w:pPr>
        <w:pStyle w:val="NormalWeb"/>
        <w:shd w:val="clear" w:color="auto" w:fill="FFFFFF"/>
        <w:spacing w:before="120" w:beforeAutospacing="0" w:after="0" w:afterAutospacing="0"/>
        <w:ind w:left="539" w:right="720"/>
        <w:jc w:val="both"/>
        <w:rPr>
          <w:rFonts w:ascii="Calibri" w:hAnsi="Calibri" w:cs="Calibri"/>
          <w:b/>
          <w:i/>
          <w:color w:val="000000"/>
          <w:sz w:val="22"/>
          <w:szCs w:val="22"/>
        </w:rPr>
      </w:pPr>
      <w:r w:rsidRPr="0089779C">
        <w:rPr>
          <w:rFonts w:ascii="Calibri" w:hAnsi="Calibri" w:cs="Calibri"/>
          <w:b/>
          <w:i/>
          <w:color w:val="000000"/>
          <w:sz w:val="22"/>
          <w:szCs w:val="22"/>
        </w:rPr>
        <w:lastRenderedPageBreak/>
        <w:t xml:space="preserve">La estructura constitucional del Estado español hace preciso que la norma se limite a aquellos aspectos procedimentales que son de la exclusiva competencia de la Comunidad Autónoma, siempre con el </w:t>
      </w:r>
      <w:r w:rsidRPr="0089779C">
        <w:rPr>
          <w:rFonts w:ascii="Calibri" w:hAnsi="Calibri" w:cs="Calibri"/>
          <w:b/>
          <w:i/>
          <w:color w:val="000000"/>
          <w:sz w:val="22"/>
          <w:szCs w:val="22"/>
          <w:u w:val="single"/>
        </w:rPr>
        <w:t>respeto a la legislación estatal básica</w:t>
      </w:r>
      <w:r w:rsidRPr="0089779C">
        <w:rPr>
          <w:rFonts w:ascii="Calibri" w:hAnsi="Calibri" w:cs="Calibri"/>
          <w:b/>
          <w:i/>
          <w:color w:val="000000"/>
          <w:sz w:val="22"/>
          <w:szCs w:val="22"/>
        </w:rPr>
        <w:t>, por lo que la regulación únicamente incide en los aspectos en que el autogobierno gallego es responsable”.</w:t>
      </w:r>
    </w:p>
    <w:p w14:paraId="06C70E10" w14:textId="77777777" w:rsidR="00966991" w:rsidRPr="00501ECF" w:rsidRDefault="00966991" w:rsidP="00966991">
      <w:pPr>
        <w:spacing w:before="120"/>
        <w:jc w:val="both"/>
        <w:rPr>
          <w:rStyle w:val="markedcontent"/>
          <w:rFonts w:cs="Calibri"/>
          <w:color w:val="000000"/>
          <w:sz w:val="24"/>
          <w:szCs w:val="24"/>
        </w:rPr>
      </w:pPr>
      <w:r w:rsidRPr="00501ECF">
        <w:rPr>
          <w:rStyle w:val="markedcontent"/>
          <w:rFonts w:cs="Calibri"/>
          <w:color w:val="000000"/>
          <w:sz w:val="24"/>
          <w:szCs w:val="24"/>
        </w:rPr>
        <w:t>E o artigo 38 di:</w:t>
      </w:r>
    </w:p>
    <w:p w14:paraId="1D733AE8" w14:textId="77777777" w:rsidR="00966991" w:rsidRPr="0089779C" w:rsidRDefault="00966991" w:rsidP="00966991">
      <w:pPr>
        <w:shd w:val="clear" w:color="auto" w:fill="FFFFFF"/>
        <w:spacing w:after="0" w:line="240" w:lineRule="auto"/>
        <w:ind w:left="540" w:right="720"/>
        <w:jc w:val="both"/>
        <w:rPr>
          <w:rFonts w:cs="Calibri"/>
          <w:bCs/>
          <w:i/>
          <w:color w:val="000000"/>
          <w:lang w:eastAsia="es-ES"/>
        </w:rPr>
      </w:pPr>
      <w:r w:rsidRPr="0089779C">
        <w:rPr>
          <w:rFonts w:cs="Calibri"/>
          <w:bCs/>
          <w:i/>
          <w:color w:val="000000"/>
          <w:lang w:eastAsia="es-ES"/>
        </w:rPr>
        <w:t>“Particularidades de los procedimientos de evaluación de impacto ambiental en el ámbito competencial de la Comunidad Autónoma de Galicia:</w:t>
      </w:r>
    </w:p>
    <w:p w14:paraId="68A78782" w14:textId="77777777" w:rsidR="00966991" w:rsidRPr="0089779C" w:rsidRDefault="00966991" w:rsidP="00966991">
      <w:pPr>
        <w:shd w:val="clear" w:color="auto" w:fill="FFFFFF"/>
        <w:spacing w:after="0" w:line="240" w:lineRule="auto"/>
        <w:ind w:left="540" w:right="720"/>
        <w:jc w:val="both"/>
        <w:rPr>
          <w:rFonts w:cs="Calibri"/>
          <w:bCs/>
          <w:i/>
          <w:color w:val="000000"/>
          <w:lang w:eastAsia="es-ES"/>
        </w:rPr>
      </w:pPr>
    </w:p>
    <w:p w14:paraId="7E066D06" w14:textId="77777777" w:rsidR="00966991" w:rsidRPr="0089779C" w:rsidRDefault="00966991" w:rsidP="00DD30C9">
      <w:pPr>
        <w:pStyle w:val="Prrafodelista"/>
        <w:numPr>
          <w:ilvl w:val="0"/>
          <w:numId w:val="26"/>
        </w:numPr>
        <w:shd w:val="clear" w:color="auto" w:fill="FFFFFF"/>
        <w:ind w:left="540" w:right="720" w:firstLine="0"/>
        <w:jc w:val="both"/>
        <w:rPr>
          <w:i/>
          <w:color w:val="000000"/>
          <w:lang w:eastAsia="es-ES"/>
        </w:rPr>
      </w:pPr>
      <w:r w:rsidRPr="0089779C">
        <w:rPr>
          <w:i/>
          <w:color w:val="000000"/>
          <w:lang w:eastAsia="es-ES"/>
        </w:rPr>
        <w:t>En el procedimiento de evaluación de impacto ambiental ordinaria se aplicarán los siguientes plazos:</w:t>
      </w:r>
    </w:p>
    <w:p w14:paraId="57918779" w14:textId="77777777" w:rsidR="00966991" w:rsidRPr="0089779C" w:rsidRDefault="00966991" w:rsidP="00966991">
      <w:pPr>
        <w:pStyle w:val="Prrafodelista"/>
        <w:shd w:val="clear" w:color="auto" w:fill="FFFFFF"/>
        <w:ind w:left="540" w:right="720"/>
        <w:jc w:val="both"/>
        <w:rPr>
          <w:i/>
          <w:color w:val="000000"/>
          <w:lang w:eastAsia="es-ES"/>
        </w:rPr>
      </w:pPr>
      <w:r w:rsidRPr="0089779C">
        <w:rPr>
          <w:i/>
          <w:color w:val="000000"/>
          <w:lang w:eastAsia="es-ES"/>
        </w:rPr>
        <w:t>…</w:t>
      </w:r>
    </w:p>
    <w:p w14:paraId="05071663" w14:textId="77777777" w:rsidR="00966991" w:rsidRPr="0089779C" w:rsidRDefault="00966991" w:rsidP="00966991">
      <w:pPr>
        <w:shd w:val="clear" w:color="auto" w:fill="FFFFFF"/>
        <w:spacing w:after="0" w:line="240" w:lineRule="auto"/>
        <w:ind w:left="540" w:right="720"/>
        <w:jc w:val="both"/>
        <w:rPr>
          <w:rFonts w:cs="Calibri"/>
          <w:i/>
          <w:color w:val="000000"/>
          <w:lang w:eastAsia="es-ES"/>
        </w:rPr>
      </w:pPr>
      <w:r w:rsidRPr="0089779C">
        <w:rPr>
          <w:rFonts w:cs="Calibri"/>
          <w:bCs/>
          <w:i/>
          <w:color w:val="000000"/>
          <w:lang w:eastAsia="es-ES"/>
        </w:rPr>
        <w:t>d) </w:t>
      </w:r>
      <w:r w:rsidRPr="0089779C">
        <w:rPr>
          <w:rFonts w:cs="Calibri"/>
          <w:i/>
          <w:color w:val="000000"/>
          <w:lang w:eastAsia="es-ES"/>
        </w:rPr>
        <w:t xml:space="preserve">Para someter el proyecto y el estudio de impacto ambiental a información pública y </w:t>
      </w:r>
      <w:r w:rsidRPr="0089779C">
        <w:rPr>
          <w:rFonts w:cs="Calibri"/>
          <w:i/>
          <w:color w:val="000000"/>
          <w:u w:val="single"/>
          <w:lang w:eastAsia="es-ES"/>
        </w:rPr>
        <w:t xml:space="preserve">para que las administraciones públicas emitan sus informes y las personas interesadas formulen sus alegaciones, </w:t>
      </w:r>
      <w:r w:rsidRPr="0089779C">
        <w:rPr>
          <w:rFonts w:cs="Calibri"/>
          <w:b/>
          <w:i/>
          <w:color w:val="000000"/>
          <w:u w:val="single"/>
          <w:lang w:eastAsia="es-ES"/>
        </w:rPr>
        <w:t>treinta días hábiles</w:t>
      </w:r>
      <w:r w:rsidRPr="0089779C">
        <w:rPr>
          <w:rFonts w:cs="Calibri"/>
          <w:i/>
          <w:color w:val="000000"/>
          <w:lang w:eastAsia="es-ES"/>
        </w:rPr>
        <w:t>”</w:t>
      </w:r>
    </w:p>
    <w:p w14:paraId="7BF276E1" w14:textId="77777777" w:rsidR="00966991" w:rsidRPr="00501ECF" w:rsidRDefault="00966991" w:rsidP="00966991">
      <w:pPr>
        <w:spacing w:before="120"/>
        <w:jc w:val="both"/>
        <w:rPr>
          <w:rStyle w:val="markedcontent"/>
          <w:rFonts w:cs="Calibri"/>
          <w:color w:val="000000"/>
          <w:sz w:val="24"/>
          <w:szCs w:val="24"/>
        </w:rPr>
      </w:pPr>
      <w:r w:rsidRPr="00501ECF">
        <w:rPr>
          <w:rStyle w:val="markedcontent"/>
          <w:rFonts w:cs="Calibri"/>
          <w:color w:val="000000"/>
          <w:sz w:val="24"/>
          <w:szCs w:val="24"/>
        </w:rPr>
        <w:t>Pero o artigo 8 da Lei 5/2017. De 19 de octubre, de fomento da implantación de iniciativas empresariais de Galicia,  di:</w:t>
      </w:r>
    </w:p>
    <w:p w14:paraId="1FC7884E" w14:textId="77777777" w:rsidR="00966991" w:rsidRPr="00743EBD" w:rsidRDefault="00966991" w:rsidP="00966991">
      <w:pPr>
        <w:ind w:left="540" w:right="720"/>
        <w:jc w:val="both"/>
        <w:rPr>
          <w:rStyle w:val="markedcontent"/>
          <w:rFonts w:cs="Calibri"/>
          <w:b/>
          <w:i/>
          <w:color w:val="000000"/>
          <w:u w:val="single"/>
        </w:rPr>
      </w:pPr>
      <w:r w:rsidRPr="00743EBD">
        <w:rPr>
          <w:i/>
        </w:rPr>
        <w:t xml:space="preserve">Tramitación urgente de proyectos sectoriales incluidos en el Plan sectorial de áreas empresariales de Galicia. Si concurriesen razones de urgencia, que corresponderá apreciar al Consello de la Xunta de Galicia, este podrá acordar que en la tramitación de los proyectos sectoriales incluidos en el Plan sectorial de áreas empresariales de Galicia y en sus modificaciones </w:t>
      </w:r>
      <w:r w:rsidRPr="00743EBD">
        <w:rPr>
          <w:b/>
          <w:i/>
          <w:u w:val="single"/>
        </w:rPr>
        <w:t>se reduzcan a la mitad los plazos de información pública y audiencia previstos en la legislación vigente en materia de ordenación del territorio</w:t>
      </w:r>
    </w:p>
    <w:p w14:paraId="44C4E7D6" w14:textId="77777777" w:rsidR="00966991" w:rsidRPr="00501ECF" w:rsidRDefault="00966991" w:rsidP="00966991">
      <w:pPr>
        <w:spacing w:after="0" w:line="240" w:lineRule="auto"/>
        <w:jc w:val="both"/>
        <w:rPr>
          <w:rStyle w:val="markedcontent"/>
          <w:sz w:val="24"/>
          <w:szCs w:val="24"/>
        </w:rPr>
      </w:pPr>
      <w:r w:rsidRPr="00501ECF">
        <w:rPr>
          <w:rStyle w:val="markedcontent"/>
          <w:sz w:val="24"/>
          <w:szCs w:val="24"/>
        </w:rPr>
        <w:t>Ningunha destas leis poden contradecir a Lei 21/2013 de 9 de decembro de evaluación ambiental, que forma parte da lexislación básica do estado, e que no seu artigo 36 establece un prazo mínimo de 30 días para a exposición a información pública.</w:t>
      </w:r>
    </w:p>
    <w:p w14:paraId="50FECBDE" w14:textId="77777777" w:rsidR="00966991" w:rsidRPr="00501ECF" w:rsidRDefault="00966991" w:rsidP="00966991">
      <w:pPr>
        <w:spacing w:after="0" w:line="240" w:lineRule="auto"/>
        <w:jc w:val="both"/>
        <w:rPr>
          <w:rStyle w:val="markedcontent"/>
          <w:sz w:val="24"/>
          <w:szCs w:val="24"/>
        </w:rPr>
      </w:pPr>
    </w:p>
    <w:p w14:paraId="59DFD64B" w14:textId="77777777" w:rsidR="00966991" w:rsidRPr="00501ECF" w:rsidRDefault="00966991" w:rsidP="00966991">
      <w:pPr>
        <w:spacing w:after="0" w:line="240" w:lineRule="auto"/>
        <w:jc w:val="both"/>
        <w:rPr>
          <w:rStyle w:val="markedcontent"/>
          <w:sz w:val="24"/>
          <w:szCs w:val="24"/>
        </w:rPr>
      </w:pPr>
      <w:r w:rsidRPr="00501ECF">
        <w:rPr>
          <w:rStyle w:val="markedcontent"/>
          <w:sz w:val="24"/>
          <w:szCs w:val="24"/>
        </w:rPr>
        <w:t>Esta lei é competencia exclusiva do estado e lexislación básica sobre a protección do medio ambiente, sen perxuizo de que as comunidades autónomas, nas súas facultades, podan establecer normas adicionáis de protección, que poden ser máis restrictivas, pero nunca menoscabar ou reducir a protección da citada lei.</w:t>
      </w:r>
    </w:p>
    <w:p w14:paraId="7B2CE27E" w14:textId="77777777" w:rsidR="00966991" w:rsidRPr="00501ECF" w:rsidRDefault="00966991" w:rsidP="00966991">
      <w:pPr>
        <w:spacing w:after="0" w:line="240" w:lineRule="auto"/>
        <w:jc w:val="both"/>
        <w:rPr>
          <w:rStyle w:val="markedcontent"/>
          <w:sz w:val="24"/>
          <w:szCs w:val="24"/>
        </w:rPr>
      </w:pPr>
    </w:p>
    <w:p w14:paraId="03FA0785" w14:textId="77777777" w:rsidR="00966991" w:rsidRPr="00743EBD" w:rsidRDefault="00966991" w:rsidP="00966991">
      <w:pPr>
        <w:spacing w:after="0" w:line="240" w:lineRule="auto"/>
        <w:ind w:left="540" w:right="720"/>
        <w:jc w:val="both"/>
        <w:rPr>
          <w:rFonts w:cs="Calibri"/>
          <w:i/>
          <w:color w:val="000000"/>
        </w:rPr>
      </w:pPr>
      <w:r w:rsidRPr="00743EBD">
        <w:rPr>
          <w:rStyle w:val="markedcontent"/>
          <w:rFonts w:cs="Calibri"/>
        </w:rPr>
        <w:t xml:space="preserve"> </w:t>
      </w:r>
      <w:r w:rsidRPr="00743EBD">
        <w:rPr>
          <w:rFonts w:cs="Calibri"/>
          <w:i/>
          <w:color w:val="000000"/>
        </w:rPr>
        <w:t>“Una Ley básica es aquella ley estatal que se dicta en uso de alguno de los títulos competenciales del artículo 149.1.de la Constitución  en los que se adjudica al Estado la facultad de fijar las bases que regulan una materia, y a las Comunidades Autónomas el desarrollo normativo de esas bases. En ese precepto de la Constitución se otorga este tipo de competencia legislativa al Estado usando diversas expresiones: «bases» (149.1.11ª, 13ª, 16ª, 18ª), «legislación básica» (149.1.17ª, 18ª, 23ª) o «regulación de las condiciones básicas» (149.1.1ª)”.</w:t>
      </w:r>
    </w:p>
    <w:p w14:paraId="29FF23A7" w14:textId="77777777" w:rsidR="00966991" w:rsidRPr="00501ECF" w:rsidRDefault="00966991" w:rsidP="00966991">
      <w:pPr>
        <w:spacing w:after="0" w:line="240" w:lineRule="auto"/>
        <w:jc w:val="both"/>
        <w:rPr>
          <w:rStyle w:val="markedcontent"/>
          <w:sz w:val="24"/>
          <w:szCs w:val="24"/>
        </w:rPr>
      </w:pPr>
    </w:p>
    <w:p w14:paraId="3C078932" w14:textId="77777777" w:rsidR="00966991" w:rsidRPr="00501ECF" w:rsidRDefault="00966991" w:rsidP="00966991">
      <w:pPr>
        <w:spacing w:after="0" w:line="240" w:lineRule="auto"/>
        <w:jc w:val="both"/>
        <w:rPr>
          <w:rStyle w:val="markedcontent"/>
          <w:sz w:val="24"/>
          <w:szCs w:val="24"/>
        </w:rPr>
      </w:pPr>
      <w:r w:rsidRPr="00501ECF">
        <w:rPr>
          <w:rStyle w:val="markedcontent"/>
          <w:sz w:val="24"/>
          <w:szCs w:val="24"/>
        </w:rPr>
        <w:t>O carácter de lexislación básica da Lei 21/2013 de evaluación ambiental ven acreditado polo artigo 149.1 da Constitución Española:</w:t>
      </w:r>
    </w:p>
    <w:p w14:paraId="0827209A" w14:textId="77777777" w:rsidR="00966991" w:rsidRPr="00501ECF" w:rsidRDefault="00966991" w:rsidP="00966991">
      <w:pPr>
        <w:spacing w:after="0" w:line="240" w:lineRule="auto"/>
        <w:jc w:val="both"/>
        <w:rPr>
          <w:rStyle w:val="markedcontent"/>
          <w:sz w:val="24"/>
          <w:szCs w:val="24"/>
        </w:rPr>
      </w:pPr>
    </w:p>
    <w:p w14:paraId="601A7AD3" w14:textId="77777777" w:rsidR="00966991" w:rsidRPr="00743EBD" w:rsidRDefault="00966991" w:rsidP="00966991">
      <w:pPr>
        <w:pStyle w:val="Prrafodelista"/>
        <w:ind w:left="540" w:right="720"/>
        <w:jc w:val="both"/>
        <w:rPr>
          <w:i/>
          <w:color w:val="000000"/>
        </w:rPr>
      </w:pPr>
      <w:r w:rsidRPr="00743EBD">
        <w:rPr>
          <w:i/>
          <w:color w:val="000000"/>
        </w:rPr>
        <w:t>“El Estado tiene competencia exclusiva sobre las siguientes materias: […] 23.ª Legislación básica sobre protección del medio ambiente, sin perjuicio de las facultades de las Comunidades Autónomas de establecer normas adicionales de protección.”</w:t>
      </w:r>
    </w:p>
    <w:p w14:paraId="72E6EA68" w14:textId="77777777" w:rsidR="00966991" w:rsidRPr="00501ECF" w:rsidRDefault="00966991" w:rsidP="00966991">
      <w:pPr>
        <w:pStyle w:val="Prrafodelista"/>
        <w:ind w:left="0"/>
        <w:jc w:val="both"/>
        <w:rPr>
          <w:rStyle w:val="markedcontent"/>
          <w:rFonts w:cs="Calibri"/>
          <w:sz w:val="24"/>
          <w:szCs w:val="24"/>
        </w:rPr>
      </w:pPr>
    </w:p>
    <w:p w14:paraId="6DDA244F" w14:textId="2BE56FA4" w:rsidR="009B3A3A" w:rsidRDefault="009B3A3A" w:rsidP="00501ECF">
      <w:pPr>
        <w:pStyle w:val="Prrafodelista"/>
        <w:ind w:left="0"/>
        <w:jc w:val="both"/>
        <w:rPr>
          <w:rStyle w:val="markedcontent"/>
          <w:rFonts w:cs="Calibri"/>
          <w:sz w:val="24"/>
          <w:szCs w:val="24"/>
        </w:rPr>
      </w:pPr>
    </w:p>
    <w:p w14:paraId="12D08F94" w14:textId="77777777" w:rsidR="008B4C1D" w:rsidRDefault="008B4C1D" w:rsidP="00246A53">
      <w:pPr>
        <w:pStyle w:val="Default"/>
        <w:numPr>
          <w:ilvl w:val="0"/>
          <w:numId w:val="11"/>
        </w:numPr>
        <w:shd w:val="clear" w:color="auto" w:fill="C6D9F1"/>
        <w:ind w:left="1701" w:hanging="1701"/>
        <w:jc w:val="both"/>
        <w:outlineLvl w:val="0"/>
        <w:rPr>
          <w:rFonts w:ascii="Calibri" w:hAnsi="Calibri" w:cs="Calibri"/>
          <w:b/>
          <w:bCs/>
        </w:rPr>
      </w:pPr>
      <w:bookmarkStart w:id="20" w:name="_Toc87813559"/>
      <w:bookmarkStart w:id="21" w:name="_Toc87980510"/>
      <w:bookmarkStart w:id="22" w:name="_Toc87980571"/>
      <w:bookmarkStart w:id="23" w:name="_Toc88059711"/>
      <w:bookmarkStart w:id="24" w:name="_Toc132510942"/>
      <w:r w:rsidRPr="004022F0">
        <w:rPr>
          <w:rFonts w:ascii="Calibri" w:hAnsi="Calibri" w:cs="Calibri"/>
          <w:b/>
          <w:bCs/>
        </w:rPr>
        <w:lastRenderedPageBreak/>
        <w:t>O artigo 59 da Lei 7/</w:t>
      </w:r>
      <w:r w:rsidRPr="004022F0">
        <w:rPr>
          <w:rFonts w:ascii="Calibri" w:hAnsi="Calibri" w:cs="Calibri"/>
          <w:b/>
          <w:bCs/>
          <w:iCs/>
        </w:rPr>
        <w:t>2012</w:t>
      </w:r>
      <w:r w:rsidRPr="004022F0">
        <w:rPr>
          <w:rFonts w:ascii="Calibri" w:hAnsi="Calibri" w:cs="Calibri"/>
          <w:b/>
          <w:bCs/>
        </w:rPr>
        <w:t>, de 28 de xuño, de montes de Galicia prohíbe o cambio de uso forestal dos terreos queimados, por 30 anos.</w:t>
      </w:r>
      <w:bookmarkEnd w:id="20"/>
      <w:bookmarkEnd w:id="21"/>
      <w:bookmarkEnd w:id="22"/>
      <w:bookmarkEnd w:id="23"/>
      <w:bookmarkEnd w:id="24"/>
    </w:p>
    <w:p w14:paraId="00FF2583" w14:textId="3F5B8964" w:rsidR="005E4AF7" w:rsidRDefault="005E4AF7" w:rsidP="002A3D8E">
      <w:pPr>
        <w:pStyle w:val="parrafo"/>
        <w:spacing w:before="120" w:beforeAutospacing="0" w:after="180" w:afterAutospacing="0"/>
        <w:ind w:left="540" w:right="720"/>
        <w:jc w:val="both"/>
        <w:rPr>
          <w:rFonts w:ascii="Calibri" w:hAnsi="Calibri" w:cs="Calibri"/>
          <w:i/>
          <w:color w:val="000000"/>
          <w:sz w:val="22"/>
          <w:szCs w:val="22"/>
        </w:rPr>
      </w:pPr>
      <w:r>
        <w:rPr>
          <w:rFonts w:ascii="Calibri" w:hAnsi="Calibri" w:cs="Calibri"/>
          <w:i/>
          <w:color w:val="000000"/>
          <w:sz w:val="22"/>
          <w:szCs w:val="22"/>
        </w:rPr>
        <w:t>Artigo 59. Cambio de uso forestal.</w:t>
      </w:r>
    </w:p>
    <w:p w14:paraId="5D1FD958" w14:textId="574EB08F" w:rsidR="008B4C1D" w:rsidRPr="00743EBD" w:rsidRDefault="008B4C1D" w:rsidP="002A3D8E">
      <w:pPr>
        <w:pStyle w:val="parrafo"/>
        <w:spacing w:before="120" w:beforeAutospacing="0" w:after="180" w:afterAutospacing="0"/>
        <w:ind w:left="540" w:right="720"/>
        <w:jc w:val="both"/>
        <w:rPr>
          <w:rFonts w:ascii="Calibri" w:hAnsi="Calibri" w:cs="Calibri"/>
          <w:i/>
          <w:color w:val="000000"/>
          <w:sz w:val="22"/>
          <w:szCs w:val="22"/>
        </w:rPr>
      </w:pPr>
      <w:r w:rsidRPr="00743EBD">
        <w:rPr>
          <w:rFonts w:ascii="Calibri" w:hAnsi="Calibri" w:cs="Calibri"/>
          <w:i/>
          <w:color w:val="000000"/>
          <w:sz w:val="22"/>
          <w:szCs w:val="22"/>
        </w:rPr>
        <w:t xml:space="preserve">1. El cambio de uso forestal de un monte, cuando no viniese motivado por razones de interés </w:t>
      </w:r>
      <w:r w:rsidRPr="005E4AF7">
        <w:rPr>
          <w:rFonts w:ascii="Calibri" w:hAnsi="Calibri" w:cs="Calibri"/>
          <w:i/>
          <w:color w:val="000000"/>
          <w:sz w:val="20"/>
          <w:szCs w:val="22"/>
        </w:rPr>
        <w:t>general</w:t>
      </w:r>
      <w:r w:rsidRPr="00743EBD">
        <w:rPr>
          <w:rFonts w:ascii="Calibri" w:hAnsi="Calibri" w:cs="Calibri"/>
          <w:i/>
          <w:color w:val="000000"/>
          <w:sz w:val="22"/>
          <w:szCs w:val="22"/>
        </w:rPr>
        <w:t>, y sin perjuicio de lo dispuesto en el artículo 28.2 de la presente Ley y de la normativa ambiental aplicable, tendrá carácter excepcional, requiriendo informe favorable del órgano forestal y, en su caso, del titular del monte.</w:t>
      </w:r>
    </w:p>
    <w:p w14:paraId="29E1F86F" w14:textId="77777777" w:rsidR="008B4C1D" w:rsidRPr="00743EBD" w:rsidRDefault="008B4C1D" w:rsidP="002A3D8E">
      <w:pPr>
        <w:pStyle w:val="parrafo"/>
        <w:spacing w:before="120" w:beforeAutospacing="0" w:after="180" w:afterAutospacing="0"/>
        <w:ind w:left="540" w:right="720"/>
        <w:jc w:val="both"/>
        <w:rPr>
          <w:rFonts w:ascii="Calibri" w:hAnsi="Calibri" w:cs="Calibri"/>
          <w:i/>
          <w:color w:val="000000"/>
          <w:sz w:val="22"/>
          <w:szCs w:val="22"/>
        </w:rPr>
      </w:pPr>
      <w:r w:rsidRPr="00743EBD">
        <w:rPr>
          <w:rFonts w:ascii="Calibri" w:hAnsi="Calibri" w:cs="Calibri"/>
          <w:i/>
          <w:color w:val="000000"/>
          <w:sz w:val="22"/>
          <w:szCs w:val="22"/>
        </w:rPr>
        <w:t>2. La Administración forestal competente podrá regular un procedimiento más simplificado para la autorización del cambio de uso en aquellas plantaciones forestales temporales para las cuales se solicitase una reversión a usos anteriores no forestales.</w:t>
      </w:r>
    </w:p>
    <w:p w14:paraId="5D0490A4" w14:textId="77777777" w:rsidR="008B4C1D" w:rsidRPr="00743EBD" w:rsidRDefault="008B4C1D" w:rsidP="002A3D8E">
      <w:pPr>
        <w:pStyle w:val="parrafo"/>
        <w:spacing w:before="120" w:beforeAutospacing="0" w:after="180" w:afterAutospacing="0"/>
        <w:ind w:left="540" w:right="720"/>
        <w:jc w:val="both"/>
        <w:rPr>
          <w:rFonts w:ascii="Calibri" w:hAnsi="Calibri" w:cs="Calibri"/>
          <w:i/>
          <w:color w:val="000000"/>
          <w:sz w:val="22"/>
          <w:szCs w:val="22"/>
        </w:rPr>
      </w:pPr>
      <w:r w:rsidRPr="00743EBD">
        <w:rPr>
          <w:rFonts w:ascii="Calibri" w:hAnsi="Calibri" w:cs="Calibri"/>
          <w:i/>
          <w:color w:val="000000"/>
          <w:sz w:val="22"/>
          <w:szCs w:val="22"/>
        </w:rPr>
        <w:t xml:space="preserve">3. </w:t>
      </w:r>
      <w:r w:rsidRPr="00743EBD">
        <w:rPr>
          <w:rFonts w:ascii="Calibri" w:hAnsi="Calibri" w:cs="Calibri"/>
          <w:b/>
          <w:i/>
          <w:color w:val="000000"/>
          <w:sz w:val="22"/>
          <w:szCs w:val="22"/>
        </w:rPr>
        <w:t>En terrenos afectados por incendios forestales, no podrá producirse un cambio de uso en treinta años</w:t>
      </w:r>
      <w:r w:rsidRPr="00743EBD">
        <w:rPr>
          <w:rFonts w:ascii="Calibri" w:hAnsi="Calibri" w:cs="Calibri"/>
          <w:i/>
          <w:color w:val="000000"/>
          <w:sz w:val="22"/>
          <w:szCs w:val="22"/>
        </w:rPr>
        <w:t>. Con carácter singular, podrán acordarse excepciones siempre que, con anterioridad al incendio forestal, el cambio de uso estuviese contemplado:</w:t>
      </w:r>
    </w:p>
    <w:p w14:paraId="132DC703" w14:textId="77777777" w:rsidR="008B4C1D" w:rsidRPr="00743EBD" w:rsidRDefault="008B4C1D" w:rsidP="002A3D8E">
      <w:pPr>
        <w:pStyle w:val="parrafo2"/>
        <w:spacing w:before="120" w:beforeAutospacing="0" w:after="180" w:afterAutospacing="0"/>
        <w:ind w:left="540" w:right="720"/>
        <w:jc w:val="both"/>
        <w:rPr>
          <w:rFonts w:ascii="Calibri" w:hAnsi="Calibri" w:cs="Calibri"/>
          <w:i/>
          <w:color w:val="000000"/>
          <w:sz w:val="22"/>
          <w:szCs w:val="22"/>
        </w:rPr>
      </w:pPr>
      <w:r w:rsidRPr="00743EBD">
        <w:rPr>
          <w:rFonts w:ascii="Calibri" w:hAnsi="Calibri" w:cs="Calibri"/>
          <w:i/>
          <w:color w:val="000000"/>
          <w:sz w:val="22"/>
          <w:szCs w:val="22"/>
        </w:rPr>
        <w:t>a) En un instrumento de planeamiento previamente aprobado.</w:t>
      </w:r>
    </w:p>
    <w:p w14:paraId="5E3872FD" w14:textId="77777777" w:rsidR="008B4C1D" w:rsidRPr="00743EBD" w:rsidRDefault="008B4C1D" w:rsidP="002A3D8E">
      <w:pPr>
        <w:pStyle w:val="parrafo"/>
        <w:spacing w:before="120" w:beforeAutospacing="0" w:after="180" w:afterAutospacing="0"/>
        <w:ind w:left="540" w:right="720"/>
        <w:jc w:val="both"/>
        <w:rPr>
          <w:rFonts w:ascii="Calibri" w:hAnsi="Calibri" w:cs="Calibri"/>
          <w:i/>
          <w:color w:val="000000"/>
          <w:sz w:val="22"/>
          <w:szCs w:val="22"/>
        </w:rPr>
      </w:pPr>
      <w:r w:rsidRPr="00743EBD">
        <w:rPr>
          <w:rFonts w:ascii="Calibri" w:hAnsi="Calibri" w:cs="Calibri"/>
          <w:i/>
          <w:color w:val="000000"/>
          <w:sz w:val="22"/>
          <w:szCs w:val="22"/>
        </w:rPr>
        <w:t>b) En un instrumento de planeamiento pendiente de aprobación si ya fue objeto de evaluación ambiental favorable o, de no ser esta exigible, si ya fue sometido al trámite de información pública.</w:t>
      </w:r>
    </w:p>
    <w:p w14:paraId="36A036E4" w14:textId="77777777" w:rsidR="008B4C1D" w:rsidRPr="00743EBD" w:rsidRDefault="008B4C1D" w:rsidP="002A3D8E">
      <w:pPr>
        <w:pStyle w:val="parrafo"/>
        <w:spacing w:before="120" w:beforeAutospacing="0" w:after="180" w:afterAutospacing="0"/>
        <w:ind w:left="540" w:right="720"/>
        <w:jc w:val="both"/>
        <w:rPr>
          <w:rFonts w:ascii="Calibri" w:hAnsi="Calibri" w:cs="Calibri"/>
          <w:i/>
          <w:color w:val="000000"/>
          <w:sz w:val="22"/>
          <w:szCs w:val="22"/>
        </w:rPr>
      </w:pPr>
      <w:r w:rsidRPr="00743EBD">
        <w:rPr>
          <w:rFonts w:ascii="Calibri" w:hAnsi="Calibri" w:cs="Calibri"/>
          <w:i/>
          <w:color w:val="000000"/>
          <w:sz w:val="22"/>
          <w:szCs w:val="22"/>
        </w:rPr>
        <w:t>c) En una directriz de política agroforestal que contemple el uso de pastos o agrícola extensivo en montes incultos o en estado de abandono que no estuvieran arbolados con especies autóctonas.</w:t>
      </w:r>
    </w:p>
    <w:p w14:paraId="3B66A0A5" w14:textId="77777777" w:rsidR="008B4C1D" w:rsidRPr="00743EBD" w:rsidRDefault="008B4C1D" w:rsidP="002A3D8E">
      <w:pPr>
        <w:pStyle w:val="parrafo2"/>
        <w:spacing w:before="120" w:beforeAutospacing="0" w:after="180" w:afterAutospacing="0"/>
        <w:ind w:left="540" w:right="720"/>
        <w:jc w:val="both"/>
        <w:rPr>
          <w:rFonts w:ascii="Calibri" w:hAnsi="Calibri" w:cs="Calibri"/>
          <w:i/>
          <w:color w:val="000000"/>
          <w:sz w:val="22"/>
          <w:szCs w:val="22"/>
        </w:rPr>
      </w:pPr>
      <w:r w:rsidRPr="00743EBD">
        <w:rPr>
          <w:rFonts w:ascii="Calibri" w:hAnsi="Calibri" w:cs="Calibri"/>
          <w:i/>
          <w:color w:val="000000"/>
          <w:sz w:val="22"/>
          <w:szCs w:val="22"/>
        </w:rPr>
        <w:t>4. También con carácter singular, de forma excepcional, cuando concurrieran razones de interés público derivadas de necesidades de ordenación y gestión sostenible del territorio, el Consello de la Xunta, mediante acuerdo motivado, podrá autorizar la tramitación de cambios de uso forestal, exceptuando el cumplimiento de lo dispuesto en el número anterior.</w:t>
      </w:r>
    </w:p>
    <w:p w14:paraId="6B2DAF48" w14:textId="77777777" w:rsidR="008B4C1D" w:rsidRPr="00501ECF" w:rsidRDefault="008B4C1D" w:rsidP="002A3D8E">
      <w:pPr>
        <w:pStyle w:val="parrafo2"/>
        <w:spacing w:before="120" w:beforeAutospacing="0" w:after="180" w:afterAutospacing="0"/>
        <w:jc w:val="both"/>
        <w:rPr>
          <w:rFonts w:ascii="Calibri" w:hAnsi="Calibri" w:cs="Calibri"/>
          <w:color w:val="000000"/>
        </w:rPr>
      </w:pPr>
      <w:r w:rsidRPr="00501ECF">
        <w:rPr>
          <w:rFonts w:ascii="Calibri" w:hAnsi="Calibri" w:cs="Calibri"/>
          <w:color w:val="000000"/>
        </w:rPr>
        <w:t xml:space="preserve">As posibles razóns de </w:t>
      </w:r>
      <w:r w:rsidRPr="00501ECF">
        <w:rPr>
          <w:rFonts w:ascii="Calibri" w:hAnsi="Calibri" w:cs="Calibri"/>
          <w:i/>
          <w:color w:val="000000"/>
        </w:rPr>
        <w:t>“interés público derivadas de necesidades de ordenación e xestión sostible do territorio”</w:t>
      </w:r>
      <w:r w:rsidRPr="00501ECF">
        <w:rPr>
          <w:rFonts w:ascii="Calibri" w:hAnsi="Calibri" w:cs="Calibri"/>
          <w:color w:val="000000"/>
        </w:rPr>
        <w:t xml:space="preserve">  non constan na documentación exposta, polo que non existen.</w:t>
      </w:r>
    </w:p>
    <w:p w14:paraId="1DB4C7E1" w14:textId="17C40F23" w:rsidR="009B3A3A" w:rsidRPr="003320F5" w:rsidRDefault="008B4C1D" w:rsidP="002A3D8E">
      <w:pPr>
        <w:pStyle w:val="parrafo2"/>
        <w:spacing w:before="120" w:beforeAutospacing="0" w:after="0" w:afterAutospacing="0"/>
        <w:jc w:val="both"/>
        <w:rPr>
          <w:rFonts w:ascii="Calibri" w:hAnsi="Calibri" w:cs="Calibri"/>
          <w:color w:val="000000"/>
        </w:rPr>
      </w:pPr>
      <w:r w:rsidRPr="00501ECF">
        <w:rPr>
          <w:rFonts w:ascii="Calibri" w:hAnsi="Calibri" w:cs="Calibri"/>
        </w:rPr>
        <w:t xml:space="preserve">Polo tanto, e </w:t>
      </w:r>
      <w:hyperlink r:id="rId31" w:history="1">
        <w:r w:rsidRPr="009E1D3D">
          <w:rPr>
            <w:rStyle w:val="Hipervnculo"/>
            <w:rFonts w:ascii="Calibri" w:hAnsi="Calibri" w:cs="Calibri"/>
          </w:rPr>
          <w:t>despois dos incendios do ano</w:t>
        </w:r>
        <w:r w:rsidR="00966991">
          <w:rPr>
            <w:rStyle w:val="Hipervnculo"/>
            <w:rFonts w:ascii="Calibri" w:hAnsi="Calibri" w:cs="Calibri"/>
          </w:rPr>
          <w:t xml:space="preserve"> 2006 e</w:t>
        </w:r>
        <w:r w:rsidRPr="009E1D3D">
          <w:rPr>
            <w:rStyle w:val="Hipervnculo"/>
            <w:rFonts w:ascii="Calibri" w:hAnsi="Calibri" w:cs="Calibri"/>
          </w:rPr>
          <w:t xml:space="preserve"> 20</w:t>
        </w:r>
        <w:r w:rsidR="009E1D3D" w:rsidRPr="009E1D3D">
          <w:rPr>
            <w:rStyle w:val="Hipervnculo"/>
            <w:rFonts w:ascii="Calibri" w:hAnsi="Calibri" w:cs="Calibri"/>
          </w:rPr>
          <w:t>13</w:t>
        </w:r>
      </w:hyperlink>
      <w:r w:rsidR="009E1D3D">
        <w:rPr>
          <w:rStyle w:val="Refdenotaalpie"/>
          <w:rFonts w:ascii="Calibri" w:hAnsi="Calibri"/>
        </w:rPr>
        <w:footnoteReference w:id="18"/>
      </w:r>
      <w:r w:rsidRPr="00501ECF">
        <w:rPr>
          <w:rFonts w:ascii="Calibri" w:hAnsi="Calibri" w:cs="Calibri"/>
        </w:rPr>
        <w:t xml:space="preserve"> que afectaron de forma catastrófica a esta contorna, alegamos que o proxecto debe ser retirado polo menos ata o ano 20</w:t>
      </w:r>
      <w:r w:rsidR="009E1D3D">
        <w:rPr>
          <w:rFonts w:ascii="Calibri" w:hAnsi="Calibri" w:cs="Calibri"/>
        </w:rPr>
        <w:t>43</w:t>
      </w:r>
      <w:r w:rsidRPr="00501ECF">
        <w:rPr>
          <w:rFonts w:ascii="Calibri" w:hAnsi="Calibri" w:cs="Calibri"/>
        </w:rPr>
        <w:t>.</w:t>
      </w:r>
    </w:p>
    <w:p w14:paraId="7249959A" w14:textId="77777777" w:rsidR="004022F0" w:rsidRDefault="004022F0" w:rsidP="00A75472">
      <w:pPr>
        <w:pStyle w:val="Prrafodelista"/>
        <w:shd w:val="clear" w:color="auto" w:fill="FFFFFF"/>
        <w:ind w:left="1276" w:right="720"/>
        <w:jc w:val="both"/>
        <w:rPr>
          <w:i/>
          <w:kern w:val="16"/>
          <w:lang w:eastAsia="es-ES"/>
        </w:rPr>
      </w:pPr>
    </w:p>
    <w:p w14:paraId="3BD92E9C" w14:textId="0339F35B" w:rsidR="009115C4" w:rsidRPr="00501ECF" w:rsidRDefault="009115C4" w:rsidP="009115C4">
      <w:pPr>
        <w:pStyle w:val="Default"/>
        <w:numPr>
          <w:ilvl w:val="0"/>
          <w:numId w:val="11"/>
        </w:numPr>
        <w:shd w:val="clear" w:color="auto" w:fill="C6D9F1"/>
        <w:spacing w:before="120"/>
        <w:ind w:left="1701" w:hanging="1701"/>
        <w:jc w:val="both"/>
        <w:outlineLvl w:val="0"/>
        <w:rPr>
          <w:rFonts w:ascii="Calibri" w:hAnsi="Calibri" w:cs="Calibri"/>
          <w:b/>
        </w:rPr>
      </w:pPr>
      <w:bookmarkStart w:id="25" w:name="_Toc87813560"/>
      <w:bookmarkStart w:id="26" w:name="_Toc87980511"/>
      <w:bookmarkStart w:id="27" w:name="_Toc87980572"/>
      <w:bookmarkStart w:id="28" w:name="_Toc88059712"/>
      <w:bookmarkStart w:id="29" w:name="_Toc132510943"/>
      <w:r w:rsidRPr="00501ECF">
        <w:rPr>
          <w:rFonts w:ascii="Calibri" w:hAnsi="Calibri" w:cs="Calibri"/>
          <w:b/>
        </w:rPr>
        <w:t xml:space="preserve">O desfase </w:t>
      </w:r>
      <w:r w:rsidRPr="004E638A">
        <w:rPr>
          <w:rFonts w:ascii="Calibri" w:hAnsi="Calibri" w:cs="Calibri"/>
          <w:b/>
          <w:iCs/>
        </w:rPr>
        <w:t>temporal</w:t>
      </w:r>
      <w:r w:rsidRPr="00501ECF">
        <w:rPr>
          <w:rFonts w:ascii="Calibri" w:hAnsi="Calibri" w:cs="Calibri"/>
          <w:b/>
        </w:rPr>
        <w:t xml:space="preserve"> entre a realización do proxecto e o EsIA (1</w:t>
      </w:r>
      <w:r>
        <w:rPr>
          <w:rFonts w:ascii="Calibri" w:hAnsi="Calibri" w:cs="Calibri"/>
          <w:b/>
        </w:rPr>
        <w:t>3</w:t>
      </w:r>
      <w:r w:rsidRPr="00501ECF">
        <w:rPr>
          <w:rFonts w:ascii="Calibri" w:hAnsi="Calibri" w:cs="Calibri"/>
          <w:b/>
        </w:rPr>
        <w:t xml:space="preserve"> meses), converte a éste último en inútil, e deslexitima toda a tramitación ambiental.</w:t>
      </w:r>
      <w:bookmarkEnd w:id="25"/>
      <w:bookmarkEnd w:id="26"/>
      <w:bookmarkEnd w:id="27"/>
      <w:bookmarkEnd w:id="28"/>
      <w:bookmarkEnd w:id="29"/>
    </w:p>
    <w:p w14:paraId="15DDF11D" w14:textId="4F346C9C" w:rsidR="009115C4" w:rsidRPr="00501ECF" w:rsidRDefault="009115C4" w:rsidP="009115C4">
      <w:pPr>
        <w:pStyle w:val="Default"/>
        <w:spacing w:before="120"/>
        <w:jc w:val="both"/>
        <w:rPr>
          <w:rFonts w:ascii="Calibri" w:hAnsi="Calibri" w:cs="Calibri"/>
        </w:rPr>
      </w:pPr>
      <w:r w:rsidRPr="00501ECF">
        <w:rPr>
          <w:rFonts w:ascii="Calibri" w:hAnsi="Calibri" w:cs="Calibri"/>
        </w:rPr>
        <w:t>A tramitación do proxecto sectorial, técnico e o EsIA debe facerse en paralelo. É a única forma de que o EsIA inflúa sobre a redacción dos proxectos</w:t>
      </w:r>
      <w:r>
        <w:rPr>
          <w:rFonts w:ascii="Calibri" w:hAnsi="Calibri" w:cs="Calibri"/>
        </w:rPr>
        <w:t xml:space="preserve"> e viceversa</w:t>
      </w:r>
      <w:r w:rsidRPr="00501ECF">
        <w:rPr>
          <w:rFonts w:ascii="Calibri" w:hAnsi="Calibri" w:cs="Calibri"/>
        </w:rPr>
        <w:t xml:space="preserve">. </w:t>
      </w:r>
    </w:p>
    <w:p w14:paraId="7E77A239" w14:textId="77777777" w:rsidR="009115C4" w:rsidRPr="00501ECF" w:rsidRDefault="009115C4" w:rsidP="009115C4">
      <w:pPr>
        <w:pStyle w:val="Prrafodelista"/>
        <w:autoSpaceDE w:val="0"/>
        <w:autoSpaceDN w:val="0"/>
        <w:adjustRightInd w:val="0"/>
        <w:spacing w:before="120"/>
        <w:ind w:left="0"/>
        <w:jc w:val="both"/>
        <w:rPr>
          <w:sz w:val="24"/>
          <w:szCs w:val="24"/>
        </w:rPr>
      </w:pPr>
      <w:r w:rsidRPr="00501ECF">
        <w:rPr>
          <w:sz w:val="24"/>
          <w:szCs w:val="24"/>
        </w:rPr>
        <w:t>Esto queda reflexado na boa práctica do Principio de Integración Ambiental establecido no Tratado de Funcionamento da Unión Europea (TFUE), incorporado aos obxectivos da Directiva 2011/92/UE de Avaliación de Impacto Ambiental, e aos obxectivos e principios da Lei estatal 21/2013, de Avaliación Ambiental.</w:t>
      </w:r>
    </w:p>
    <w:p w14:paraId="4E9769DB" w14:textId="77777777" w:rsidR="009115C4" w:rsidRPr="00743EBD" w:rsidRDefault="009115C4" w:rsidP="00DD30C9">
      <w:pPr>
        <w:pStyle w:val="Prrafodelista"/>
        <w:numPr>
          <w:ilvl w:val="1"/>
          <w:numId w:val="29"/>
        </w:numPr>
        <w:autoSpaceDE w:val="0"/>
        <w:autoSpaceDN w:val="0"/>
        <w:adjustRightInd w:val="0"/>
        <w:spacing w:before="120"/>
        <w:ind w:left="539" w:right="720" w:firstLine="0"/>
        <w:jc w:val="both"/>
        <w:rPr>
          <w:i/>
          <w:sz w:val="24"/>
          <w:szCs w:val="24"/>
        </w:rPr>
      </w:pPr>
      <w:r w:rsidRPr="00743EBD">
        <w:rPr>
          <w:i/>
          <w:sz w:val="24"/>
          <w:szCs w:val="24"/>
        </w:rPr>
        <w:t>TFUE: Primeira Parte. Principios. Artigo 11.</w:t>
      </w:r>
    </w:p>
    <w:p w14:paraId="21C4C7DC" w14:textId="77777777" w:rsidR="009115C4" w:rsidRPr="00743EBD" w:rsidRDefault="009115C4" w:rsidP="00DD30C9">
      <w:pPr>
        <w:pStyle w:val="Prrafodelista"/>
        <w:numPr>
          <w:ilvl w:val="1"/>
          <w:numId w:val="29"/>
        </w:numPr>
        <w:autoSpaceDE w:val="0"/>
        <w:autoSpaceDN w:val="0"/>
        <w:adjustRightInd w:val="0"/>
        <w:ind w:left="540" w:right="720" w:firstLine="0"/>
        <w:jc w:val="both"/>
        <w:rPr>
          <w:i/>
          <w:sz w:val="24"/>
          <w:szCs w:val="24"/>
        </w:rPr>
      </w:pPr>
      <w:r w:rsidRPr="00743EBD">
        <w:rPr>
          <w:i/>
          <w:sz w:val="24"/>
          <w:szCs w:val="24"/>
        </w:rPr>
        <w:t>Directiva 2011/92/UE. Comunicado 2016/C 273/01 da Comisión. Racionalización da EsIA. Introdución. 1º parágrafo.</w:t>
      </w:r>
    </w:p>
    <w:p w14:paraId="1533F979" w14:textId="77777777" w:rsidR="009115C4" w:rsidRPr="00743EBD" w:rsidRDefault="009115C4" w:rsidP="00DD30C9">
      <w:pPr>
        <w:pStyle w:val="Default"/>
        <w:numPr>
          <w:ilvl w:val="1"/>
          <w:numId w:val="29"/>
        </w:numPr>
        <w:ind w:left="540" w:right="720" w:firstLine="0"/>
        <w:jc w:val="both"/>
        <w:rPr>
          <w:rFonts w:ascii="Calibri" w:hAnsi="Calibri" w:cs="Calibri"/>
          <w:i/>
        </w:rPr>
      </w:pPr>
      <w:r w:rsidRPr="00743EBD">
        <w:rPr>
          <w:rFonts w:ascii="Calibri" w:hAnsi="Calibri" w:cs="Calibri"/>
          <w:i/>
        </w:rPr>
        <w:lastRenderedPageBreak/>
        <w:t xml:space="preserve">Lei 21/2013: Artigo 1. </w:t>
      </w:r>
      <w:r w:rsidRPr="00743EBD">
        <w:rPr>
          <w:rFonts w:ascii="Calibri" w:hAnsi="Calibri" w:cs="Calibri"/>
          <w:i/>
          <w:iCs/>
        </w:rPr>
        <w:t>Obxecto</w:t>
      </w:r>
      <w:r w:rsidRPr="00743EBD">
        <w:rPr>
          <w:rFonts w:ascii="Calibri" w:hAnsi="Calibri" w:cs="Calibri"/>
          <w:i/>
        </w:rPr>
        <w:t xml:space="preserve">. 1.- a) e b). Artigo 2. </w:t>
      </w:r>
      <w:r w:rsidRPr="00743EBD">
        <w:rPr>
          <w:rFonts w:ascii="Calibri" w:hAnsi="Calibri" w:cs="Calibri"/>
          <w:i/>
          <w:iCs/>
        </w:rPr>
        <w:t>Principios da avaliación ambiental</w:t>
      </w:r>
      <w:r w:rsidRPr="00743EBD">
        <w:rPr>
          <w:rFonts w:ascii="Calibri" w:hAnsi="Calibri" w:cs="Calibri"/>
          <w:i/>
        </w:rPr>
        <w:t>.- k)</w:t>
      </w:r>
    </w:p>
    <w:p w14:paraId="05F6536E" w14:textId="77777777" w:rsidR="009115C4" w:rsidRPr="00501ECF" w:rsidRDefault="009115C4" w:rsidP="009115C4">
      <w:pPr>
        <w:pStyle w:val="Default"/>
        <w:jc w:val="both"/>
        <w:rPr>
          <w:rFonts w:ascii="Calibri" w:hAnsi="Calibri" w:cs="Calibri"/>
        </w:rPr>
      </w:pPr>
    </w:p>
    <w:p w14:paraId="55EB467A" w14:textId="77777777" w:rsidR="009115C4" w:rsidRPr="00501ECF" w:rsidRDefault="009115C4" w:rsidP="009115C4">
      <w:pPr>
        <w:autoSpaceDE w:val="0"/>
        <w:autoSpaceDN w:val="0"/>
        <w:adjustRightInd w:val="0"/>
        <w:spacing w:after="0" w:line="240" w:lineRule="auto"/>
        <w:jc w:val="both"/>
        <w:rPr>
          <w:rFonts w:cs="Calibri"/>
          <w:sz w:val="24"/>
          <w:szCs w:val="24"/>
        </w:rPr>
      </w:pPr>
      <w:r w:rsidRPr="00501ECF">
        <w:rPr>
          <w:rFonts w:cs="Calibri"/>
          <w:color w:val="000000"/>
          <w:sz w:val="24"/>
          <w:szCs w:val="24"/>
        </w:rPr>
        <w:t>Así como na</w:t>
      </w:r>
      <w:r w:rsidRPr="00501ECF">
        <w:rPr>
          <w:rFonts w:cs="Calibri"/>
          <w:sz w:val="24"/>
          <w:szCs w:val="24"/>
        </w:rPr>
        <w:t xml:space="preserve"> Guía informativa sobre a Avaliación Ambiental en Galicia – 2003, publicada pola Xunta de Galicia - Dirección Xeral de Calidade e Avaliación Ambiental que di:</w:t>
      </w:r>
    </w:p>
    <w:p w14:paraId="3DFB93E8" w14:textId="77777777" w:rsidR="009115C4" w:rsidRPr="00501ECF" w:rsidRDefault="009115C4" w:rsidP="009115C4">
      <w:pPr>
        <w:autoSpaceDE w:val="0"/>
        <w:autoSpaceDN w:val="0"/>
        <w:adjustRightInd w:val="0"/>
        <w:spacing w:after="0" w:line="240" w:lineRule="auto"/>
        <w:jc w:val="both"/>
        <w:rPr>
          <w:rFonts w:cs="Calibri"/>
          <w:sz w:val="24"/>
          <w:szCs w:val="24"/>
        </w:rPr>
      </w:pPr>
    </w:p>
    <w:p w14:paraId="77660019" w14:textId="77777777" w:rsidR="009115C4" w:rsidRPr="00743EBD" w:rsidRDefault="009115C4" w:rsidP="009115C4">
      <w:pPr>
        <w:autoSpaceDE w:val="0"/>
        <w:autoSpaceDN w:val="0"/>
        <w:adjustRightInd w:val="0"/>
        <w:spacing w:after="0" w:line="240" w:lineRule="auto"/>
        <w:ind w:left="540" w:right="720"/>
        <w:jc w:val="both"/>
        <w:rPr>
          <w:rFonts w:cs="Calibri"/>
          <w:color w:val="000000"/>
        </w:rPr>
      </w:pPr>
      <w:r w:rsidRPr="00743EBD">
        <w:rPr>
          <w:rFonts w:cs="Calibri-Italic"/>
          <w:i/>
          <w:iCs/>
        </w:rPr>
        <w:t>“É condición indispensable que a avaliación ambiental se realice paralelamente ó desenvolvemento do proxecto básico; soamente desta maneira se pode asegurar que o valorado no estudio se integra o antes posible no proceso de toma de decisións. Para isto é fundamental que o equipo que realiza o estudio ambiental traballe da forma mais coordinada posible co equipo que desenvolve o proxecto, e a ser posible que ámbolos equipos estean integrados.”</w:t>
      </w:r>
    </w:p>
    <w:p w14:paraId="1F1EB09A" w14:textId="77777777" w:rsidR="009115C4" w:rsidRPr="00501ECF" w:rsidRDefault="009115C4" w:rsidP="009115C4">
      <w:pPr>
        <w:pStyle w:val="Default"/>
        <w:jc w:val="both"/>
        <w:rPr>
          <w:rFonts w:ascii="Calibri" w:hAnsi="Calibri" w:cs="Calibri"/>
        </w:rPr>
      </w:pPr>
    </w:p>
    <w:p w14:paraId="7769BE9C" w14:textId="1AAC7122" w:rsidR="009115C4" w:rsidRPr="00501ECF" w:rsidRDefault="009115C4" w:rsidP="009115C4">
      <w:pPr>
        <w:pStyle w:val="Default"/>
        <w:jc w:val="both"/>
        <w:rPr>
          <w:rFonts w:ascii="Calibri" w:hAnsi="Calibri" w:cs="Calibri"/>
        </w:rPr>
      </w:pPr>
      <w:r w:rsidRPr="00501ECF">
        <w:rPr>
          <w:rFonts w:ascii="Calibri" w:hAnsi="Calibri" w:cs="Calibri"/>
        </w:rPr>
        <w:t xml:space="preserve">Facer o EsIA </w:t>
      </w:r>
      <w:r>
        <w:rPr>
          <w:rFonts w:ascii="Calibri" w:hAnsi="Calibri" w:cs="Calibri"/>
        </w:rPr>
        <w:t>con anterioridade</w:t>
      </w:r>
      <w:r w:rsidRPr="00501ECF">
        <w:rPr>
          <w:rFonts w:ascii="Calibri" w:hAnsi="Calibri" w:cs="Calibri"/>
        </w:rPr>
        <w:t xml:space="preserve"> imposibilita que </w:t>
      </w:r>
      <w:r>
        <w:rPr>
          <w:rFonts w:ascii="Calibri" w:hAnsi="Calibri" w:cs="Calibri"/>
        </w:rPr>
        <w:t>recolla as condicións reflectidas</w:t>
      </w:r>
      <w:r w:rsidRPr="00501ECF">
        <w:rPr>
          <w:rFonts w:ascii="Calibri" w:hAnsi="Calibri" w:cs="Calibri"/>
        </w:rPr>
        <w:t xml:space="preserve"> nos proxectos e o converte nun trámite inútil e nunha falsa coartada ambiental.</w:t>
      </w:r>
    </w:p>
    <w:p w14:paraId="2EC26F7E" w14:textId="77777777" w:rsidR="009115C4" w:rsidRPr="00501ECF" w:rsidRDefault="009115C4" w:rsidP="009115C4">
      <w:pPr>
        <w:pStyle w:val="Default"/>
        <w:jc w:val="both"/>
        <w:rPr>
          <w:rFonts w:ascii="Calibri" w:hAnsi="Calibri" w:cs="Calibri"/>
        </w:rPr>
      </w:pPr>
    </w:p>
    <w:p w14:paraId="743C022C" w14:textId="77777777" w:rsidR="009115C4" w:rsidRPr="00501ECF" w:rsidRDefault="009115C4" w:rsidP="009115C4">
      <w:pPr>
        <w:pStyle w:val="Default"/>
        <w:jc w:val="both"/>
        <w:rPr>
          <w:rFonts w:ascii="Calibri" w:hAnsi="Calibri" w:cs="Calibri"/>
        </w:rPr>
      </w:pPr>
      <w:r w:rsidRPr="00501ECF">
        <w:rPr>
          <w:rFonts w:ascii="Calibri" w:hAnsi="Calibri" w:cs="Calibri"/>
        </w:rPr>
        <w:t>Esto se demostra tanto polas datas que figuran nos documentos, como polos propios textos que figuran no proxecto sectorial e técnico.</w:t>
      </w:r>
    </w:p>
    <w:p w14:paraId="3D2C442D" w14:textId="77777777" w:rsidR="009115C4" w:rsidRPr="00501ECF" w:rsidRDefault="009115C4" w:rsidP="009115C4">
      <w:pPr>
        <w:pStyle w:val="Default"/>
        <w:jc w:val="both"/>
        <w:rPr>
          <w:rFonts w:ascii="Calibri" w:hAnsi="Calibri" w:cs="Calibri"/>
        </w:rPr>
      </w:pPr>
    </w:p>
    <w:p w14:paraId="6640454B" w14:textId="24692795" w:rsidR="009115C4" w:rsidRPr="00501ECF" w:rsidRDefault="009115C4" w:rsidP="009115C4">
      <w:pPr>
        <w:autoSpaceDE w:val="0"/>
        <w:autoSpaceDN w:val="0"/>
        <w:adjustRightInd w:val="0"/>
        <w:spacing w:after="0" w:line="240" w:lineRule="auto"/>
        <w:jc w:val="both"/>
        <w:rPr>
          <w:rFonts w:cs="Calibri"/>
          <w:sz w:val="24"/>
          <w:szCs w:val="24"/>
        </w:rPr>
      </w:pPr>
      <w:r w:rsidRPr="00501ECF">
        <w:rPr>
          <w:rFonts w:cs="Calibri"/>
          <w:sz w:val="24"/>
          <w:szCs w:val="24"/>
        </w:rPr>
        <w:t>O pdf do Proxecto Sectorial e do Proxecto técnico</w:t>
      </w:r>
      <w:r>
        <w:rPr>
          <w:rFonts w:cs="Calibri"/>
          <w:sz w:val="24"/>
          <w:szCs w:val="24"/>
        </w:rPr>
        <w:t xml:space="preserve"> ten data de decembro de 2022</w:t>
      </w:r>
      <w:r w:rsidRPr="00501ECF">
        <w:rPr>
          <w:rFonts w:cs="Calibri"/>
          <w:sz w:val="24"/>
          <w:szCs w:val="24"/>
        </w:rPr>
        <w:t xml:space="preserve">. O  Estudo de Impacto Ambiental </w:t>
      </w:r>
      <w:r>
        <w:rPr>
          <w:rFonts w:cs="Calibri"/>
          <w:sz w:val="24"/>
          <w:szCs w:val="24"/>
        </w:rPr>
        <w:t>ten data do 30 de novembro de 2021</w:t>
      </w:r>
      <w:r w:rsidRPr="00501ECF">
        <w:rPr>
          <w:rFonts w:cs="Calibri"/>
          <w:sz w:val="24"/>
          <w:szCs w:val="24"/>
        </w:rPr>
        <w:t xml:space="preserve">, é dicir, </w:t>
      </w:r>
      <w:r w:rsidRPr="00501ECF">
        <w:rPr>
          <w:rFonts w:cs="Calibri"/>
          <w:b/>
          <w:sz w:val="24"/>
          <w:szCs w:val="24"/>
          <w:u w:val="single"/>
        </w:rPr>
        <w:t>1</w:t>
      </w:r>
      <w:r>
        <w:rPr>
          <w:rFonts w:cs="Calibri"/>
          <w:b/>
          <w:sz w:val="24"/>
          <w:szCs w:val="24"/>
          <w:u w:val="single"/>
        </w:rPr>
        <w:t>3</w:t>
      </w:r>
      <w:r w:rsidRPr="00501ECF">
        <w:rPr>
          <w:rFonts w:cs="Calibri"/>
          <w:b/>
          <w:sz w:val="24"/>
          <w:szCs w:val="24"/>
          <w:u w:val="single"/>
        </w:rPr>
        <w:t xml:space="preserve"> meses </w:t>
      </w:r>
      <w:r>
        <w:rPr>
          <w:rFonts w:cs="Calibri"/>
          <w:b/>
          <w:sz w:val="24"/>
          <w:szCs w:val="24"/>
          <w:u w:val="single"/>
        </w:rPr>
        <w:t>antes</w:t>
      </w:r>
      <w:r w:rsidRPr="00501ECF">
        <w:rPr>
          <w:rFonts w:cs="Calibri"/>
          <w:b/>
          <w:sz w:val="24"/>
          <w:szCs w:val="24"/>
          <w:u w:val="single"/>
        </w:rPr>
        <w:t>.</w:t>
      </w:r>
    </w:p>
    <w:p w14:paraId="4AAF2B02" w14:textId="77777777" w:rsidR="009115C4" w:rsidRPr="00501ECF" w:rsidRDefault="009115C4" w:rsidP="009115C4">
      <w:pPr>
        <w:autoSpaceDE w:val="0"/>
        <w:autoSpaceDN w:val="0"/>
        <w:adjustRightInd w:val="0"/>
        <w:spacing w:after="0" w:line="240" w:lineRule="auto"/>
        <w:rPr>
          <w:rFonts w:cs="Calibri"/>
          <w:color w:val="000000"/>
          <w:sz w:val="24"/>
          <w:szCs w:val="24"/>
        </w:rPr>
      </w:pPr>
    </w:p>
    <w:p w14:paraId="01378619" w14:textId="4E714914" w:rsidR="009115C4" w:rsidRPr="00501ECF" w:rsidRDefault="009115C4" w:rsidP="009115C4">
      <w:pPr>
        <w:pStyle w:val="Default"/>
        <w:spacing w:before="120"/>
        <w:jc w:val="both"/>
        <w:rPr>
          <w:rFonts w:ascii="Calibri" w:hAnsi="Calibri" w:cs="Calibri"/>
        </w:rPr>
      </w:pPr>
      <w:r w:rsidRPr="00501ECF">
        <w:rPr>
          <w:rFonts w:ascii="Calibri" w:hAnsi="Calibri" w:cs="Calibri"/>
        </w:rPr>
        <w:t xml:space="preserve">Unha vez rematado o </w:t>
      </w:r>
      <w:r>
        <w:rPr>
          <w:rFonts w:ascii="Calibri" w:hAnsi="Calibri" w:cs="Calibri"/>
        </w:rPr>
        <w:t xml:space="preserve">Proxecto Técnico, </w:t>
      </w:r>
      <w:r w:rsidRPr="00501ECF">
        <w:rPr>
          <w:rFonts w:ascii="Calibri" w:hAnsi="Calibri" w:cs="Calibri"/>
        </w:rPr>
        <w:t xml:space="preserve">non se modificou nin unha coma no </w:t>
      </w:r>
      <w:r>
        <w:rPr>
          <w:rFonts w:ascii="Calibri" w:hAnsi="Calibri" w:cs="Calibri"/>
        </w:rPr>
        <w:t>EsIA</w:t>
      </w:r>
      <w:r w:rsidRPr="00501ECF">
        <w:rPr>
          <w:rFonts w:ascii="Calibri" w:hAnsi="Calibri" w:cs="Calibri"/>
        </w:rPr>
        <w:t>.</w:t>
      </w:r>
    </w:p>
    <w:p w14:paraId="3B0B4EC2" w14:textId="77777777" w:rsidR="009115C4" w:rsidRDefault="009115C4" w:rsidP="009115C4">
      <w:pPr>
        <w:pStyle w:val="Prrafodelista"/>
        <w:shd w:val="clear" w:color="auto" w:fill="FFFFFF"/>
        <w:ind w:left="0" w:right="720"/>
        <w:jc w:val="both"/>
        <w:rPr>
          <w:i/>
          <w:kern w:val="16"/>
          <w:lang w:eastAsia="es-ES"/>
        </w:rPr>
      </w:pPr>
    </w:p>
    <w:p w14:paraId="209110C9" w14:textId="77777777" w:rsidR="00471D6A" w:rsidRDefault="00471D6A" w:rsidP="00A75472">
      <w:pPr>
        <w:pStyle w:val="Prrafodelista"/>
        <w:shd w:val="clear" w:color="auto" w:fill="FFFFFF"/>
        <w:ind w:left="1276" w:right="720"/>
        <w:jc w:val="both"/>
        <w:rPr>
          <w:i/>
          <w:kern w:val="16"/>
          <w:lang w:eastAsia="es-ES"/>
        </w:rPr>
      </w:pPr>
    </w:p>
    <w:p w14:paraId="4A784074" w14:textId="43712781" w:rsidR="00356B3E" w:rsidRPr="004022F0" w:rsidRDefault="00356B3E" w:rsidP="00246A53">
      <w:pPr>
        <w:pStyle w:val="Default"/>
        <w:numPr>
          <w:ilvl w:val="0"/>
          <w:numId w:val="11"/>
        </w:numPr>
        <w:shd w:val="clear" w:color="auto" w:fill="C6D9F1"/>
        <w:ind w:left="1701" w:hanging="1701"/>
        <w:jc w:val="both"/>
        <w:outlineLvl w:val="0"/>
        <w:rPr>
          <w:rFonts w:ascii="Calibri" w:hAnsi="Calibri" w:cs="Calibri"/>
          <w:b/>
        </w:rPr>
      </w:pPr>
      <w:bookmarkStart w:id="30" w:name="_Toc132510944"/>
      <w:r>
        <w:rPr>
          <w:rFonts w:ascii="Calibri" w:hAnsi="Calibri" w:cs="Calibri"/>
          <w:b/>
        </w:rPr>
        <w:t>A chamada Avaliación de Alternativas do Proxecto, transgrede o Principio de Integración Ambiental, a Directiva 2111/92/UE, de Avaliación de Impacto Ambiental, a Lei 21/2013 de Avaliación Ambiental, a boa práctica e a racionalidade</w:t>
      </w:r>
      <w:r w:rsidRPr="004022F0">
        <w:rPr>
          <w:rFonts w:ascii="Calibri" w:hAnsi="Calibri" w:cs="Calibri"/>
          <w:b/>
        </w:rPr>
        <w:t>.</w:t>
      </w:r>
      <w:bookmarkEnd w:id="30"/>
    </w:p>
    <w:p w14:paraId="7271678E" w14:textId="77777777" w:rsidR="00356B3E" w:rsidRPr="00356B3E" w:rsidRDefault="00356B3E" w:rsidP="002A3D8E">
      <w:pPr>
        <w:pStyle w:val="Standard"/>
        <w:snapToGrid w:val="0"/>
        <w:spacing w:before="120" w:after="113"/>
        <w:jc w:val="both"/>
        <w:rPr>
          <w:rFonts w:asciiTheme="minorHAnsi" w:hAnsiTheme="minorHAnsi" w:cstheme="minorHAnsi"/>
        </w:rPr>
      </w:pPr>
      <w:r w:rsidRPr="00356B3E">
        <w:rPr>
          <w:rFonts w:asciiTheme="minorHAnsi" w:hAnsiTheme="minorHAnsi" w:cstheme="minorHAnsi"/>
        </w:rPr>
        <w:t>O obxectivo da Avaliación Ambiental é a aplicación do Principio de Integración dos aspectos ambientais no proceso de toma de decisións necesario para a redacción e a aprobación dos plans, programas e proxectos.</w:t>
      </w:r>
    </w:p>
    <w:p w14:paraId="039E9E43" w14:textId="77777777" w:rsidR="00356B3E" w:rsidRPr="00356B3E" w:rsidRDefault="00356B3E" w:rsidP="002A3D8E">
      <w:pPr>
        <w:pStyle w:val="Standard"/>
        <w:snapToGrid w:val="0"/>
        <w:spacing w:before="120" w:after="113"/>
        <w:jc w:val="both"/>
        <w:rPr>
          <w:rFonts w:asciiTheme="minorHAnsi" w:hAnsiTheme="minorHAnsi" w:cstheme="minorHAnsi"/>
        </w:rPr>
      </w:pPr>
      <w:r w:rsidRPr="00356B3E">
        <w:rPr>
          <w:rFonts w:asciiTheme="minorHAnsi" w:eastAsia="Calibri" w:hAnsiTheme="minorHAnsi" w:cstheme="minorHAnsi"/>
          <w:lang w:val="gl-ES"/>
        </w:rPr>
        <w:t>É dicir: a Avaliación Ambiental é un instrumento de redacción dos Plans e dos Proxectos, igual que o deseño técnico e a valoración económica. O proceso de toma de decisións ao longo da fase de redacción fai necesario que o equipo técnico e o equipo ambiental traballen conxuntamente dende o inicio ata o final.</w:t>
      </w:r>
    </w:p>
    <w:p w14:paraId="772A2490" w14:textId="3384A9DE" w:rsidR="00356B3E" w:rsidRPr="00356B3E" w:rsidRDefault="00844DDD" w:rsidP="002A3D8E">
      <w:pPr>
        <w:pStyle w:val="Standard"/>
        <w:snapToGrid w:val="0"/>
        <w:spacing w:before="120" w:after="113"/>
        <w:jc w:val="both"/>
        <w:rPr>
          <w:rFonts w:asciiTheme="minorHAnsi" w:eastAsia="Calibri" w:hAnsiTheme="minorHAnsi" w:cstheme="minorHAnsi"/>
          <w:lang w:val="gl-ES"/>
        </w:rPr>
      </w:pPr>
      <w:r>
        <w:rPr>
          <w:rFonts w:asciiTheme="minorHAnsi" w:eastAsia="Calibri" w:hAnsiTheme="minorHAnsi" w:cstheme="minorHAnsi"/>
          <w:lang w:val="gl-ES"/>
        </w:rPr>
        <w:t>A avaliación ambiental contí</w:t>
      </w:r>
      <w:r w:rsidR="00356B3E" w:rsidRPr="00356B3E">
        <w:rPr>
          <w:rFonts w:asciiTheme="minorHAnsi" w:eastAsia="Calibri" w:hAnsiTheme="minorHAnsi" w:cstheme="minorHAnsi"/>
          <w:lang w:val="gl-ES"/>
        </w:rPr>
        <w:t xml:space="preserve">nua </w:t>
      </w:r>
      <w:r w:rsidR="002A3D8E">
        <w:rPr>
          <w:rFonts w:asciiTheme="minorHAnsi" w:eastAsia="Calibri" w:hAnsiTheme="minorHAnsi" w:cstheme="minorHAnsi"/>
          <w:lang w:val="gl-ES"/>
        </w:rPr>
        <w:t>n</w:t>
      </w:r>
      <w:r w:rsidR="00356B3E" w:rsidRPr="00356B3E">
        <w:rPr>
          <w:rFonts w:asciiTheme="minorHAnsi" w:eastAsia="Calibri" w:hAnsiTheme="minorHAnsi" w:cstheme="minorHAnsi"/>
          <w:lang w:val="gl-ES"/>
        </w:rPr>
        <w:t>a redacción do proxecto é o único xeito de que os equipos de redacción poidan explorar, analizar e seleccionar con eficacia as alternativas técnica</w:t>
      </w:r>
      <w:r>
        <w:rPr>
          <w:rFonts w:asciiTheme="minorHAnsi" w:eastAsia="Calibri" w:hAnsiTheme="minorHAnsi" w:cstheme="minorHAnsi"/>
          <w:lang w:val="gl-ES"/>
        </w:rPr>
        <w:t>s</w:t>
      </w:r>
      <w:r w:rsidR="00356B3E" w:rsidRPr="00356B3E">
        <w:rPr>
          <w:rFonts w:asciiTheme="minorHAnsi" w:eastAsia="Calibri" w:hAnsiTheme="minorHAnsi" w:cstheme="minorHAnsi"/>
          <w:lang w:val="gl-ES"/>
        </w:rPr>
        <w:t>, económica</w:t>
      </w:r>
      <w:r>
        <w:rPr>
          <w:rFonts w:asciiTheme="minorHAnsi" w:eastAsia="Calibri" w:hAnsiTheme="minorHAnsi" w:cstheme="minorHAnsi"/>
          <w:lang w:val="gl-ES"/>
        </w:rPr>
        <w:t>s</w:t>
      </w:r>
      <w:r w:rsidR="00356B3E" w:rsidRPr="00356B3E">
        <w:rPr>
          <w:rFonts w:asciiTheme="minorHAnsi" w:eastAsia="Calibri" w:hAnsiTheme="minorHAnsi" w:cstheme="minorHAnsi"/>
          <w:lang w:val="gl-ES"/>
        </w:rPr>
        <w:t xml:space="preserve"> e ambientalmente viables, determinar a alternativa óptima, desenvolvela e facer as correccións e axustes necesarios ao longo de todo o proceso.</w:t>
      </w:r>
    </w:p>
    <w:p w14:paraId="26C9994E" w14:textId="77777777" w:rsidR="00356B3E" w:rsidRPr="00356B3E" w:rsidRDefault="00356B3E" w:rsidP="002A3D8E">
      <w:pPr>
        <w:pStyle w:val="Standard"/>
        <w:snapToGrid w:val="0"/>
        <w:spacing w:before="120" w:after="113"/>
        <w:jc w:val="both"/>
        <w:rPr>
          <w:rFonts w:asciiTheme="minorHAnsi" w:eastAsia="Calibri" w:hAnsiTheme="minorHAnsi" w:cstheme="minorHAnsi"/>
          <w:lang w:val="gl-ES"/>
        </w:rPr>
      </w:pPr>
      <w:r w:rsidRPr="00356B3E">
        <w:rPr>
          <w:rFonts w:asciiTheme="minorHAnsi" w:eastAsia="Calibri" w:hAnsiTheme="minorHAnsi" w:cstheme="minorHAnsi"/>
          <w:lang w:val="gl-ES"/>
        </w:rPr>
        <w:t>Pois ben: a chamada Avaliación de Alternativas do Estudo de Impacto Ambiental do Proxecto non é tal, senón un vulgar simulacro:</w:t>
      </w:r>
    </w:p>
    <w:p w14:paraId="1F0B1BE1" w14:textId="6C1BED78" w:rsidR="00356B3E" w:rsidRDefault="00356B3E" w:rsidP="00246A53">
      <w:pPr>
        <w:pStyle w:val="Standard"/>
        <w:widowControl w:val="0"/>
        <w:numPr>
          <w:ilvl w:val="0"/>
          <w:numId w:val="19"/>
        </w:numPr>
        <w:snapToGrid w:val="0"/>
        <w:spacing w:before="120" w:after="113"/>
        <w:ind w:left="567" w:hanging="283"/>
        <w:jc w:val="both"/>
        <w:textAlignment w:val="auto"/>
        <w:rPr>
          <w:rFonts w:asciiTheme="minorHAnsi" w:eastAsia="Calibri" w:hAnsiTheme="minorHAnsi" w:cstheme="minorHAnsi"/>
          <w:lang w:val="gl-ES"/>
        </w:rPr>
      </w:pPr>
      <w:r w:rsidRPr="00356B3E">
        <w:rPr>
          <w:rFonts w:asciiTheme="minorHAnsi" w:eastAsia="Calibri" w:hAnsiTheme="minorHAnsi" w:cstheme="minorHAnsi"/>
          <w:lang w:val="gl-ES"/>
        </w:rPr>
        <w:t xml:space="preserve">A Alternativa 0 non se avalía ambientalmente. </w:t>
      </w:r>
      <w:r w:rsidR="00E5376B">
        <w:rPr>
          <w:rFonts w:asciiTheme="minorHAnsi" w:eastAsia="Calibri" w:hAnsiTheme="minorHAnsi" w:cstheme="minorHAnsi"/>
          <w:lang w:val="gl-ES"/>
        </w:rPr>
        <w:t xml:space="preserve">Todo o estudo redúcese a dous parágrafos den ningún interés. </w:t>
      </w:r>
      <w:r w:rsidR="008F12C5">
        <w:rPr>
          <w:rFonts w:asciiTheme="minorHAnsi" w:eastAsia="Calibri" w:hAnsiTheme="minorHAnsi" w:cstheme="minorHAnsi"/>
          <w:lang w:val="gl-ES"/>
        </w:rPr>
        <w:t xml:space="preserve"> Atrévese a </w:t>
      </w:r>
      <w:r w:rsidR="00471D6A">
        <w:rPr>
          <w:rFonts w:asciiTheme="minorHAnsi" w:eastAsia="Calibri" w:hAnsiTheme="minorHAnsi" w:cstheme="minorHAnsi"/>
          <w:lang w:val="gl-ES"/>
        </w:rPr>
        <w:t>declarar soamente</w:t>
      </w:r>
      <w:r w:rsidR="008F12C5">
        <w:rPr>
          <w:rFonts w:asciiTheme="minorHAnsi" w:eastAsia="Calibri" w:hAnsiTheme="minorHAnsi" w:cstheme="minorHAnsi"/>
          <w:lang w:val="gl-ES"/>
        </w:rPr>
        <w:t xml:space="preserve"> (EsIA páxina </w:t>
      </w:r>
      <w:r w:rsidR="00471D6A">
        <w:rPr>
          <w:rFonts w:asciiTheme="minorHAnsi" w:eastAsia="Calibri" w:hAnsiTheme="minorHAnsi" w:cstheme="minorHAnsi"/>
          <w:lang w:val="gl-ES"/>
        </w:rPr>
        <w:t>43</w:t>
      </w:r>
      <w:r w:rsidR="008F12C5">
        <w:rPr>
          <w:rFonts w:asciiTheme="minorHAnsi" w:eastAsia="Calibri" w:hAnsiTheme="minorHAnsi" w:cstheme="minorHAnsi"/>
          <w:lang w:val="gl-ES"/>
        </w:rPr>
        <w:t>) que ésta alternativa</w:t>
      </w:r>
      <w:r w:rsidR="00E5376B">
        <w:rPr>
          <w:rFonts w:asciiTheme="minorHAnsi" w:eastAsia="Calibri" w:hAnsiTheme="minorHAnsi" w:cstheme="minorHAnsi"/>
          <w:lang w:val="gl-ES"/>
        </w:rPr>
        <w:t xml:space="preserve"> 0</w:t>
      </w:r>
      <w:r w:rsidR="008F12C5">
        <w:rPr>
          <w:rFonts w:asciiTheme="minorHAnsi" w:eastAsia="Calibri" w:hAnsiTheme="minorHAnsi" w:cstheme="minorHAnsi"/>
          <w:lang w:val="gl-ES"/>
        </w:rPr>
        <w:t>:</w:t>
      </w:r>
    </w:p>
    <w:p w14:paraId="63C85910" w14:textId="07C50845" w:rsidR="00471D6A" w:rsidRDefault="00471D6A" w:rsidP="00471D6A">
      <w:pPr>
        <w:autoSpaceDE w:val="0"/>
        <w:autoSpaceDN w:val="0"/>
        <w:adjustRightInd w:val="0"/>
        <w:spacing w:after="0" w:line="240" w:lineRule="auto"/>
        <w:ind w:left="709"/>
        <w:jc w:val="both"/>
        <w:rPr>
          <w:rFonts w:asciiTheme="minorHAnsi" w:eastAsia="ArialMT" w:hAnsiTheme="minorHAnsi" w:cstheme="minorHAnsi"/>
          <w:i/>
          <w:sz w:val="20"/>
          <w:szCs w:val="20"/>
          <w:lang w:eastAsia="es-ES"/>
        </w:rPr>
      </w:pPr>
      <w:r w:rsidRPr="00471D6A">
        <w:rPr>
          <w:rFonts w:asciiTheme="minorHAnsi" w:eastAsia="ArialMT" w:hAnsiTheme="minorHAnsi" w:cstheme="minorHAnsi"/>
          <w:i/>
          <w:sz w:val="20"/>
          <w:szCs w:val="20"/>
          <w:lang w:eastAsia="es-ES"/>
        </w:rPr>
        <w:t>La alternativa de no ejecución del proyecto implica el mantenimiento de la situación preoperacional que se describe en los apartados del inventario.</w:t>
      </w:r>
    </w:p>
    <w:p w14:paraId="011EA36A" w14:textId="77777777" w:rsidR="00E5376B" w:rsidRPr="00471D6A" w:rsidRDefault="00E5376B" w:rsidP="00471D6A">
      <w:pPr>
        <w:autoSpaceDE w:val="0"/>
        <w:autoSpaceDN w:val="0"/>
        <w:adjustRightInd w:val="0"/>
        <w:spacing w:after="0" w:line="240" w:lineRule="auto"/>
        <w:ind w:left="709"/>
        <w:jc w:val="both"/>
        <w:rPr>
          <w:rFonts w:asciiTheme="minorHAnsi" w:eastAsia="ArialMT" w:hAnsiTheme="minorHAnsi" w:cstheme="minorHAnsi"/>
          <w:i/>
          <w:sz w:val="20"/>
          <w:szCs w:val="20"/>
          <w:lang w:eastAsia="es-ES"/>
        </w:rPr>
      </w:pPr>
    </w:p>
    <w:p w14:paraId="783DA6C3" w14:textId="26752DE8" w:rsidR="00471D6A" w:rsidRDefault="00471D6A" w:rsidP="00471D6A">
      <w:pPr>
        <w:autoSpaceDE w:val="0"/>
        <w:autoSpaceDN w:val="0"/>
        <w:adjustRightInd w:val="0"/>
        <w:spacing w:after="0" w:line="240" w:lineRule="auto"/>
        <w:ind w:left="709"/>
        <w:jc w:val="both"/>
        <w:rPr>
          <w:rFonts w:asciiTheme="minorHAnsi" w:eastAsia="ArialMT" w:hAnsiTheme="minorHAnsi" w:cstheme="minorHAnsi"/>
          <w:i/>
          <w:sz w:val="20"/>
          <w:szCs w:val="20"/>
          <w:lang w:eastAsia="es-ES"/>
        </w:rPr>
      </w:pPr>
      <w:r w:rsidRPr="00471D6A">
        <w:rPr>
          <w:rFonts w:asciiTheme="minorHAnsi" w:eastAsia="ArialMT" w:hAnsiTheme="minorHAnsi" w:cstheme="minorHAnsi"/>
          <w:i/>
          <w:sz w:val="20"/>
          <w:szCs w:val="20"/>
          <w:lang w:eastAsia="es-ES"/>
        </w:rPr>
        <w:t>La zona de implantación del proyecto se caracteriza por una clara vocación agroforestal con predominio de plantaciones forestales y ganadería extensiva. Estos usos han modificado la sucesión natural de los hábitats presentes y modificarán las unidades paisajísticas existentes.</w:t>
      </w:r>
    </w:p>
    <w:p w14:paraId="06720930" w14:textId="77777777" w:rsidR="00E5376B" w:rsidRDefault="00E5376B" w:rsidP="00471D6A">
      <w:pPr>
        <w:autoSpaceDE w:val="0"/>
        <w:autoSpaceDN w:val="0"/>
        <w:adjustRightInd w:val="0"/>
        <w:spacing w:after="0" w:line="240" w:lineRule="auto"/>
        <w:ind w:left="709"/>
        <w:jc w:val="both"/>
        <w:rPr>
          <w:rFonts w:asciiTheme="minorHAnsi" w:eastAsia="ArialMT" w:hAnsiTheme="minorHAnsi" w:cstheme="minorHAnsi"/>
          <w:i/>
          <w:sz w:val="20"/>
          <w:szCs w:val="20"/>
          <w:lang w:eastAsia="es-ES"/>
        </w:rPr>
      </w:pPr>
    </w:p>
    <w:p w14:paraId="49E23417" w14:textId="6FF41035" w:rsidR="00E5376B" w:rsidRPr="00E5376B" w:rsidRDefault="00E5376B" w:rsidP="00E5376B">
      <w:pPr>
        <w:autoSpaceDE w:val="0"/>
        <w:autoSpaceDN w:val="0"/>
        <w:adjustRightInd w:val="0"/>
        <w:spacing w:after="0" w:line="240" w:lineRule="auto"/>
        <w:jc w:val="both"/>
        <w:rPr>
          <w:rFonts w:asciiTheme="minorHAnsi" w:hAnsiTheme="minorHAnsi" w:cstheme="minorHAnsi"/>
          <w:sz w:val="24"/>
          <w:szCs w:val="24"/>
          <w:lang w:val="gl-ES"/>
        </w:rPr>
      </w:pPr>
      <w:r>
        <w:rPr>
          <w:rFonts w:asciiTheme="minorHAnsi" w:eastAsia="ArialMT" w:hAnsiTheme="minorHAnsi" w:cstheme="minorHAnsi"/>
          <w:sz w:val="24"/>
          <w:szCs w:val="24"/>
          <w:lang w:eastAsia="es-ES"/>
        </w:rPr>
        <w:t>Eso é todo o que se pode atopar no proxecto referido á Alternativa 0.</w:t>
      </w:r>
    </w:p>
    <w:p w14:paraId="083958B7" w14:textId="3A2AB36E" w:rsidR="00356B3E" w:rsidRDefault="00356B3E" w:rsidP="002A3D8E">
      <w:pPr>
        <w:pStyle w:val="Standard"/>
        <w:snapToGrid w:val="0"/>
        <w:spacing w:before="120" w:after="113"/>
        <w:jc w:val="both"/>
        <w:rPr>
          <w:rFonts w:asciiTheme="minorHAnsi" w:eastAsia="Calibri" w:hAnsiTheme="minorHAnsi" w:cstheme="minorHAnsi"/>
          <w:lang w:val="gl-ES"/>
        </w:rPr>
      </w:pPr>
      <w:r w:rsidRPr="00356B3E">
        <w:rPr>
          <w:rFonts w:asciiTheme="minorHAnsi" w:eastAsia="Calibri" w:hAnsiTheme="minorHAnsi" w:cstheme="minorHAnsi"/>
          <w:lang w:val="gl-ES"/>
        </w:rPr>
        <w:t>O equipo redactor do EsIA comete erros inadmisibles na descrición da alternativa, desprezando dun xeito irresponsable as aportacións do monte á preservación da biodiversidade en xeral e de hábitats e especies concretos en particular, algúns deles de interese comunitario, que ignora; á regulación da humidade e da temperatura; á mitigación do cambio climático, á depuración natural das augas continentais; ao seu valor como sustento e esceario vital dos seres humanos, do gando e das greas de garranos, cabalos de raza autóctona cuxo inicialmente positivo nivel de poboación está en risco dun grave descenso por mor dos incendios precursores de parques eólicos; do valor do monte como esceario histórico, cultural e etnográfico fixado no imaxinario e na identidade colectiva do rural...</w:t>
      </w:r>
    </w:p>
    <w:p w14:paraId="31BC1215" w14:textId="34E17F6C" w:rsidR="009F6898" w:rsidRDefault="00E5376B" w:rsidP="002A3D8E">
      <w:pPr>
        <w:pStyle w:val="Standard"/>
        <w:snapToGrid w:val="0"/>
        <w:spacing w:before="120" w:after="113"/>
        <w:jc w:val="both"/>
        <w:rPr>
          <w:rFonts w:asciiTheme="minorHAnsi" w:eastAsia="Calibri" w:hAnsiTheme="minorHAnsi" w:cstheme="minorHAnsi"/>
          <w:lang w:val="gl-ES"/>
        </w:rPr>
      </w:pPr>
      <w:r>
        <w:rPr>
          <w:rFonts w:asciiTheme="minorHAnsi" w:eastAsia="Calibri" w:hAnsiTheme="minorHAnsi" w:cstheme="minorHAnsi"/>
          <w:lang w:val="gl-ES"/>
        </w:rPr>
        <w:t>Non hai ningún estudio sobre o</w:t>
      </w:r>
      <w:r w:rsidR="009F6898">
        <w:rPr>
          <w:rFonts w:asciiTheme="minorHAnsi" w:eastAsia="Calibri" w:hAnsiTheme="minorHAnsi" w:cstheme="minorHAnsi"/>
          <w:lang w:val="gl-ES"/>
        </w:rPr>
        <w:t xml:space="preserve">s postos de traballo ”creados” </w:t>
      </w:r>
      <w:r>
        <w:rPr>
          <w:rFonts w:asciiTheme="minorHAnsi" w:eastAsia="Calibri" w:hAnsiTheme="minorHAnsi" w:cstheme="minorHAnsi"/>
          <w:lang w:val="gl-ES"/>
        </w:rPr>
        <w:t xml:space="preserve">nas distintas etapas de desenvolvemento do proxecto e </w:t>
      </w:r>
      <w:r w:rsidR="009F6898">
        <w:rPr>
          <w:rFonts w:asciiTheme="minorHAnsi" w:eastAsia="Calibri" w:hAnsiTheme="minorHAnsi" w:cstheme="minorHAnsi"/>
          <w:lang w:val="gl-ES"/>
        </w:rPr>
        <w:t xml:space="preserve"> non crearía postos de traballo </w:t>
      </w:r>
      <w:r w:rsidR="005B17F0">
        <w:rPr>
          <w:rFonts w:asciiTheme="minorHAnsi" w:eastAsia="Calibri" w:hAnsiTheme="minorHAnsi" w:cstheme="minorHAnsi"/>
          <w:lang w:val="gl-ES"/>
        </w:rPr>
        <w:t xml:space="preserve">ningúns </w:t>
      </w:r>
      <w:r w:rsidR="009F6898">
        <w:rPr>
          <w:rFonts w:asciiTheme="minorHAnsi" w:eastAsia="Calibri" w:hAnsiTheme="minorHAnsi" w:cstheme="minorHAnsi"/>
          <w:lang w:val="gl-ES"/>
        </w:rPr>
        <w:t>nos 25 anos de vida útil prevista.</w:t>
      </w:r>
    </w:p>
    <w:p w14:paraId="39E6B28E" w14:textId="0E4CB05A" w:rsidR="003320F5" w:rsidRDefault="003320F5" w:rsidP="002A3D8E">
      <w:pPr>
        <w:spacing w:before="120" w:line="240" w:lineRule="auto"/>
        <w:jc w:val="both"/>
        <w:rPr>
          <w:sz w:val="24"/>
          <w:szCs w:val="24"/>
        </w:rPr>
      </w:pPr>
      <w:r w:rsidRPr="00501ECF">
        <w:rPr>
          <w:sz w:val="24"/>
          <w:szCs w:val="24"/>
        </w:rPr>
        <w:t xml:space="preserve">Na alternativa </w:t>
      </w:r>
      <w:r w:rsidR="00E5376B">
        <w:rPr>
          <w:sz w:val="24"/>
          <w:szCs w:val="24"/>
        </w:rPr>
        <w:t>A</w:t>
      </w:r>
      <w:r w:rsidRPr="00501ECF">
        <w:rPr>
          <w:sz w:val="24"/>
          <w:szCs w:val="24"/>
        </w:rPr>
        <w:t xml:space="preserve"> </w:t>
      </w:r>
      <w:r w:rsidR="00E5376B">
        <w:rPr>
          <w:sz w:val="24"/>
          <w:szCs w:val="24"/>
        </w:rPr>
        <w:t xml:space="preserve">(a elexida) </w:t>
      </w:r>
      <w:r w:rsidRPr="00501ECF">
        <w:rPr>
          <w:sz w:val="24"/>
          <w:szCs w:val="24"/>
        </w:rPr>
        <w:t xml:space="preserve">se instalarían </w:t>
      </w:r>
      <w:r w:rsidR="00E5376B">
        <w:rPr>
          <w:sz w:val="24"/>
          <w:szCs w:val="24"/>
        </w:rPr>
        <w:t>4</w:t>
      </w:r>
      <w:r w:rsidRPr="00501ECF">
        <w:rPr>
          <w:sz w:val="24"/>
          <w:szCs w:val="24"/>
        </w:rPr>
        <w:t xml:space="preserve"> aeroxeradores </w:t>
      </w:r>
      <w:r w:rsidR="00E5376B">
        <w:rPr>
          <w:sz w:val="24"/>
          <w:szCs w:val="24"/>
        </w:rPr>
        <w:t xml:space="preserve">Nordex N163 </w:t>
      </w:r>
      <w:r>
        <w:rPr>
          <w:sz w:val="24"/>
          <w:szCs w:val="24"/>
        </w:rPr>
        <w:t xml:space="preserve">de </w:t>
      </w:r>
      <w:r w:rsidR="00E5376B">
        <w:rPr>
          <w:sz w:val="24"/>
          <w:szCs w:val="24"/>
        </w:rPr>
        <w:t>5.7</w:t>
      </w:r>
      <w:r>
        <w:rPr>
          <w:sz w:val="24"/>
          <w:szCs w:val="24"/>
        </w:rPr>
        <w:t xml:space="preserve"> Mw</w:t>
      </w:r>
      <w:r w:rsidR="00E5376B">
        <w:rPr>
          <w:sz w:val="24"/>
          <w:szCs w:val="24"/>
        </w:rPr>
        <w:t xml:space="preserve"> con unha potencia total instalada de 22,8 MW rotor de 163 m e torre de 149 m o que da unha altura total de cada aeroxerador de 230 m, e na alternativa B</w:t>
      </w:r>
      <w:r>
        <w:rPr>
          <w:sz w:val="24"/>
          <w:szCs w:val="24"/>
        </w:rPr>
        <w:t>,</w:t>
      </w:r>
      <w:r w:rsidRPr="00501ECF">
        <w:rPr>
          <w:sz w:val="24"/>
          <w:szCs w:val="24"/>
        </w:rPr>
        <w:t xml:space="preserve"> </w:t>
      </w:r>
      <w:r w:rsidR="00E5376B">
        <w:rPr>
          <w:sz w:val="24"/>
          <w:szCs w:val="24"/>
        </w:rPr>
        <w:t>5</w:t>
      </w:r>
      <w:r w:rsidRPr="00501ECF">
        <w:rPr>
          <w:sz w:val="24"/>
          <w:szCs w:val="24"/>
        </w:rPr>
        <w:t xml:space="preserve"> aeroxeradores </w:t>
      </w:r>
      <w:r w:rsidR="00E5376B">
        <w:rPr>
          <w:sz w:val="24"/>
          <w:szCs w:val="24"/>
        </w:rPr>
        <w:t xml:space="preserve">Nordex N149 </w:t>
      </w:r>
      <w:r>
        <w:rPr>
          <w:sz w:val="24"/>
          <w:szCs w:val="24"/>
        </w:rPr>
        <w:t>de 4,</w:t>
      </w:r>
      <w:r w:rsidR="00DF5C9D">
        <w:rPr>
          <w:sz w:val="24"/>
          <w:szCs w:val="24"/>
        </w:rPr>
        <w:t>7</w:t>
      </w:r>
      <w:r>
        <w:rPr>
          <w:sz w:val="24"/>
          <w:szCs w:val="24"/>
        </w:rPr>
        <w:t xml:space="preserve"> Mw</w:t>
      </w:r>
      <w:r w:rsidR="00E5376B">
        <w:rPr>
          <w:sz w:val="24"/>
          <w:szCs w:val="24"/>
        </w:rPr>
        <w:t xml:space="preserve"> con unha potencia total de 23,5 MW, rotor de 149 m e torre de 148 m o que da unha altura total de 223 m.</w:t>
      </w:r>
    </w:p>
    <w:p w14:paraId="2FDA86A9" w14:textId="0584BB56" w:rsidR="00AC6D59" w:rsidRDefault="00AC6D59" w:rsidP="002A3D8E">
      <w:pPr>
        <w:spacing w:before="120" w:line="240" w:lineRule="auto"/>
        <w:jc w:val="both"/>
        <w:rPr>
          <w:sz w:val="24"/>
          <w:szCs w:val="24"/>
        </w:rPr>
      </w:pPr>
      <w:r>
        <w:rPr>
          <w:sz w:val="24"/>
          <w:szCs w:val="24"/>
        </w:rPr>
        <w:t xml:space="preserve">Ambas alternativas son moi similares e a alternativa B está diseñada para ser descartada en beneficio da alternativa A, xa que conta con un aeroxerador máis e un dos 5 aeroxeradores (A1.2) e a súa infraestructura, afectaría ao elemento patrimonial catalogado </w:t>
      </w:r>
      <w:r w:rsidRPr="00AC6D59">
        <w:rPr>
          <w:i/>
          <w:sz w:val="24"/>
          <w:szCs w:val="24"/>
        </w:rPr>
        <w:t>“Recinto do Faro”</w:t>
      </w:r>
      <w:r>
        <w:rPr>
          <w:sz w:val="24"/>
          <w:szCs w:val="24"/>
        </w:rPr>
        <w:t>. Tendo un aeroxerador máis, ofrece máis afeccións de todo tipo frente os 4 da alternativa A.</w:t>
      </w:r>
    </w:p>
    <w:p w14:paraId="501382A5" w14:textId="21C02008" w:rsidR="00AC6D59" w:rsidRDefault="00AC6D59" w:rsidP="002A3D8E">
      <w:pPr>
        <w:spacing w:before="120" w:line="240" w:lineRule="auto"/>
        <w:jc w:val="both"/>
        <w:rPr>
          <w:sz w:val="24"/>
          <w:szCs w:val="24"/>
        </w:rPr>
      </w:pPr>
      <w:r>
        <w:rPr>
          <w:sz w:val="24"/>
          <w:szCs w:val="24"/>
        </w:rPr>
        <w:t>Sen embargo a maior altura dos aeroxeradores da alternativa A e a súa maior afección paisaxística, non parece ser problema para a súa elección.</w:t>
      </w:r>
    </w:p>
    <w:p w14:paraId="5EB9368E" w14:textId="56C5ABC9" w:rsidR="00356B3E" w:rsidRPr="00356B3E" w:rsidRDefault="00356B3E" w:rsidP="00AC6D59">
      <w:pPr>
        <w:pStyle w:val="Standard"/>
        <w:widowControl w:val="0"/>
        <w:snapToGrid w:val="0"/>
        <w:spacing w:before="120" w:after="113"/>
        <w:jc w:val="both"/>
        <w:textAlignment w:val="auto"/>
        <w:rPr>
          <w:rFonts w:asciiTheme="minorHAnsi" w:eastAsia="Calibri" w:hAnsiTheme="minorHAnsi" w:cstheme="minorHAnsi"/>
          <w:lang w:val="gl-ES"/>
        </w:rPr>
      </w:pPr>
      <w:r w:rsidRPr="00356B3E">
        <w:rPr>
          <w:rFonts w:asciiTheme="minorHAnsi" w:eastAsia="Calibri" w:hAnsiTheme="minorHAnsi" w:cstheme="minorHAnsi"/>
          <w:lang w:val="gl-ES"/>
        </w:rPr>
        <w:t>Ni</w:t>
      </w:r>
      <w:r w:rsidR="003320F5">
        <w:rPr>
          <w:rFonts w:asciiTheme="minorHAnsi" w:eastAsia="Calibri" w:hAnsiTheme="minorHAnsi" w:cstheme="minorHAnsi"/>
          <w:lang w:val="gl-ES"/>
        </w:rPr>
        <w:t>n</w:t>
      </w:r>
      <w:r w:rsidRPr="00356B3E">
        <w:rPr>
          <w:rFonts w:asciiTheme="minorHAnsi" w:eastAsia="Calibri" w:hAnsiTheme="minorHAnsi" w:cstheme="minorHAnsi"/>
          <w:lang w:val="gl-ES"/>
        </w:rPr>
        <w:t xml:space="preserve"> sequera contén unha descrición dos corredores ecolóxicos das aves: as rutas que percorren na súa estancia e nas súas migracións, nin o feito de que pretende situalo entre varias ZEPA</w:t>
      </w:r>
      <w:r w:rsidR="003320F5">
        <w:rPr>
          <w:rFonts w:asciiTheme="minorHAnsi" w:eastAsia="Calibri" w:hAnsiTheme="minorHAnsi" w:cstheme="minorHAnsi"/>
          <w:lang w:val="gl-ES"/>
        </w:rPr>
        <w:t>s</w:t>
      </w:r>
      <w:r w:rsidRPr="00356B3E">
        <w:rPr>
          <w:rFonts w:asciiTheme="minorHAnsi" w:eastAsia="Calibri" w:hAnsiTheme="minorHAnsi" w:cstheme="minorHAnsi"/>
          <w:lang w:val="gl-ES"/>
        </w:rPr>
        <w:t xml:space="preserve"> da RN2000 de Galicia e do estado: Xurés; Baixo Miño; Foz do Miñor-A Ramallosa, </w:t>
      </w:r>
      <w:r w:rsidR="00AC6D59">
        <w:rPr>
          <w:rFonts w:asciiTheme="minorHAnsi" w:eastAsia="Calibri" w:hAnsiTheme="minorHAnsi" w:cstheme="minorHAnsi"/>
          <w:lang w:val="gl-ES"/>
        </w:rPr>
        <w:t xml:space="preserve">Monteferro e illas Estelas, </w:t>
      </w:r>
      <w:r w:rsidRPr="00356B3E">
        <w:rPr>
          <w:rFonts w:asciiTheme="minorHAnsi" w:eastAsia="Calibri" w:hAnsiTheme="minorHAnsi" w:cstheme="minorHAnsi"/>
          <w:lang w:val="gl-ES"/>
        </w:rPr>
        <w:t>Espazo Mariño das Rías Baixas...</w:t>
      </w:r>
    </w:p>
    <w:p w14:paraId="026ED934" w14:textId="51698BAD" w:rsidR="00356B3E" w:rsidRPr="00356B3E" w:rsidRDefault="00356B3E" w:rsidP="00AC6D59">
      <w:pPr>
        <w:pStyle w:val="Standard"/>
        <w:widowControl w:val="0"/>
        <w:snapToGrid w:val="0"/>
        <w:spacing w:before="120"/>
        <w:jc w:val="both"/>
        <w:textAlignment w:val="auto"/>
        <w:rPr>
          <w:rFonts w:asciiTheme="minorHAnsi" w:eastAsia="Calibri" w:hAnsiTheme="minorHAnsi" w:cstheme="minorHAnsi"/>
          <w:lang w:val="gl-ES"/>
        </w:rPr>
      </w:pPr>
      <w:r w:rsidRPr="00356B3E">
        <w:rPr>
          <w:rFonts w:asciiTheme="minorHAnsi" w:eastAsia="Calibri" w:hAnsiTheme="minorHAnsi" w:cstheme="minorHAnsi"/>
          <w:lang w:val="gl-ES"/>
        </w:rPr>
        <w:t>E non hai máis alternativas. Ni</w:t>
      </w:r>
      <w:r w:rsidR="003320F5">
        <w:rPr>
          <w:rFonts w:asciiTheme="minorHAnsi" w:eastAsia="Calibri" w:hAnsiTheme="minorHAnsi" w:cstheme="minorHAnsi"/>
          <w:lang w:val="gl-ES"/>
        </w:rPr>
        <w:t>n</w:t>
      </w:r>
      <w:r w:rsidRPr="00356B3E">
        <w:rPr>
          <w:rFonts w:asciiTheme="minorHAnsi" w:eastAsia="Calibri" w:hAnsiTheme="minorHAnsi" w:cstheme="minorHAnsi"/>
          <w:lang w:val="gl-ES"/>
        </w:rPr>
        <w:t xml:space="preserve"> sequera hai alternativas, posto que só se considera unha alternativa única. E ainda que fosen tres, a pretendida avaliación feita tampouco cumpriría coa boa práctica da avaliación de alternativas, que requeriría cando menos cinco delas </w:t>
      </w:r>
      <w:r w:rsidR="003320F5">
        <w:rPr>
          <w:rFonts w:asciiTheme="minorHAnsi" w:eastAsia="Calibri" w:hAnsiTheme="minorHAnsi" w:cstheme="minorHAnsi"/>
          <w:lang w:val="gl-ES"/>
        </w:rPr>
        <w:t xml:space="preserve">para </w:t>
      </w:r>
      <w:r w:rsidRPr="00356B3E">
        <w:rPr>
          <w:rFonts w:asciiTheme="minorHAnsi" w:eastAsia="Calibri" w:hAnsiTheme="minorHAnsi" w:cstheme="minorHAnsi"/>
          <w:lang w:val="gl-ES"/>
        </w:rPr>
        <w:t>realizar unha verdadeira selección de alternativas viables e a correcta elección da alternativa óptima.</w:t>
      </w:r>
    </w:p>
    <w:p w14:paraId="718F5DC7" w14:textId="77777777" w:rsidR="00356B3E" w:rsidRPr="00356B3E" w:rsidRDefault="00356B3E" w:rsidP="002A3D8E">
      <w:pPr>
        <w:pStyle w:val="Standard"/>
        <w:snapToGrid w:val="0"/>
        <w:spacing w:before="120"/>
        <w:jc w:val="both"/>
        <w:rPr>
          <w:rFonts w:asciiTheme="minorHAnsi" w:eastAsia="Calibri" w:hAnsiTheme="minorHAnsi" w:cstheme="minorHAnsi"/>
          <w:lang w:val="gl-ES"/>
        </w:rPr>
      </w:pPr>
      <w:r w:rsidRPr="00356B3E">
        <w:rPr>
          <w:rFonts w:asciiTheme="minorHAnsi" w:eastAsia="Calibri" w:hAnsiTheme="minorHAnsi" w:cstheme="minorHAnsi"/>
          <w:lang w:val="gl-ES"/>
        </w:rPr>
        <w:t>En consecuencia, o EsIA non cumpre coa súa función de integrar os aspectos ambientais na redacción do proxecto. No seu lugar, constitúe un instrumento espuriamente xustificativo do documento. Isto invalida o EsIA e a tramitación mesma do Proxecto.</w:t>
      </w:r>
    </w:p>
    <w:p w14:paraId="46E9166B" w14:textId="77777777" w:rsidR="00356B3E" w:rsidRPr="00356B3E" w:rsidRDefault="00356B3E" w:rsidP="002A3D8E">
      <w:pPr>
        <w:pStyle w:val="Standard"/>
        <w:snapToGrid w:val="0"/>
        <w:spacing w:before="120" w:after="113"/>
        <w:jc w:val="both"/>
        <w:rPr>
          <w:rFonts w:asciiTheme="minorHAnsi" w:hAnsiTheme="minorHAnsi" w:cstheme="minorHAnsi"/>
        </w:rPr>
      </w:pPr>
      <w:r w:rsidRPr="00356B3E">
        <w:rPr>
          <w:rFonts w:asciiTheme="minorHAnsi" w:hAnsiTheme="minorHAnsi" w:cstheme="minorHAnsi"/>
          <w:spacing w:val="-2"/>
        </w:rPr>
        <w:t xml:space="preserve">O </w:t>
      </w:r>
      <w:r w:rsidRPr="008F12C5">
        <w:rPr>
          <w:rFonts w:asciiTheme="minorHAnsi" w:hAnsiTheme="minorHAnsi" w:cstheme="minorHAnsi"/>
          <w:b/>
        </w:rPr>
        <w:t>Principio de Integración Ambiental</w:t>
      </w:r>
      <w:r w:rsidRPr="00356B3E">
        <w:rPr>
          <w:rFonts w:asciiTheme="minorHAnsi" w:hAnsiTheme="minorHAnsi" w:cstheme="minorHAnsi"/>
          <w:spacing w:val="-2"/>
        </w:rPr>
        <w:t xml:space="preserve"> estableceuse no Tratado Constitutivo da Comunidade Europa (</w:t>
      </w:r>
      <w:r w:rsidRPr="00356B3E">
        <w:rPr>
          <w:rFonts w:asciiTheme="minorHAnsi" w:hAnsiTheme="minorHAnsi" w:cstheme="minorHAnsi"/>
          <w:b/>
          <w:bCs/>
          <w:spacing w:val="-2"/>
        </w:rPr>
        <w:t>TCCE</w:t>
      </w:r>
      <w:r w:rsidRPr="00356B3E">
        <w:rPr>
          <w:rFonts w:asciiTheme="minorHAnsi" w:hAnsiTheme="minorHAnsi" w:cstheme="minorHAnsi"/>
          <w:spacing w:val="-2"/>
        </w:rPr>
        <w:t>), acordado mediante o Tratado de Maastricht en 1992. Mantívose no TCCE durante os Tratados de Ámsterdam en 1997 e de Niza en 2001. Posteriormente foi incorporado no Tratado de Funcionamento da Unión Europea (</w:t>
      </w:r>
      <w:r w:rsidRPr="00356B3E">
        <w:rPr>
          <w:rFonts w:asciiTheme="minorHAnsi" w:hAnsiTheme="minorHAnsi" w:cstheme="minorHAnsi"/>
          <w:b/>
          <w:bCs/>
          <w:spacing w:val="-2"/>
        </w:rPr>
        <w:t>TFUE</w:t>
      </w:r>
      <w:r w:rsidRPr="00356B3E">
        <w:rPr>
          <w:rFonts w:asciiTheme="minorHAnsi" w:hAnsiTheme="minorHAnsi" w:cstheme="minorHAnsi"/>
          <w:spacing w:val="-2"/>
        </w:rPr>
        <w:t>), acordado mediante o Tratado de Lisboa en 2007.</w:t>
      </w:r>
    </w:p>
    <w:p w14:paraId="770DE128" w14:textId="77777777" w:rsidR="00356B3E" w:rsidRPr="00356B3E" w:rsidRDefault="00356B3E" w:rsidP="002A3D8E">
      <w:pPr>
        <w:pStyle w:val="Standard"/>
        <w:snapToGrid w:val="0"/>
        <w:spacing w:before="120" w:after="113"/>
        <w:jc w:val="both"/>
        <w:rPr>
          <w:rFonts w:asciiTheme="minorHAnsi" w:hAnsiTheme="minorHAnsi" w:cstheme="minorHAnsi"/>
        </w:rPr>
      </w:pPr>
      <w:r w:rsidRPr="00356B3E">
        <w:rPr>
          <w:rFonts w:asciiTheme="minorHAnsi" w:hAnsiTheme="minorHAnsi" w:cstheme="minorHAnsi"/>
          <w:spacing w:val="-2"/>
        </w:rPr>
        <w:lastRenderedPageBreak/>
        <w:t xml:space="preserve">O pricipio de integración ambiental xa fora incorporado nos </w:t>
      </w:r>
      <w:r w:rsidRPr="00356B3E">
        <w:rPr>
          <w:rFonts w:asciiTheme="minorHAnsi" w:hAnsiTheme="minorHAnsi" w:cstheme="minorHAnsi"/>
          <w:i/>
          <w:iCs/>
          <w:spacing w:val="-2"/>
        </w:rPr>
        <w:t>procedementos</w:t>
      </w:r>
      <w:r w:rsidRPr="00356B3E">
        <w:rPr>
          <w:rFonts w:asciiTheme="minorHAnsi" w:hAnsiTheme="minorHAnsi" w:cstheme="minorHAnsi"/>
          <w:spacing w:val="-2"/>
        </w:rPr>
        <w:t xml:space="preserve"> e </w:t>
      </w:r>
      <w:r w:rsidRPr="00356B3E">
        <w:rPr>
          <w:rFonts w:asciiTheme="minorHAnsi" w:hAnsiTheme="minorHAnsi" w:cstheme="minorHAnsi"/>
          <w:i/>
          <w:iCs/>
          <w:spacing w:val="-2"/>
        </w:rPr>
        <w:t>obxectivos</w:t>
      </w:r>
      <w:r w:rsidRPr="00356B3E">
        <w:rPr>
          <w:rFonts w:asciiTheme="minorHAnsi" w:hAnsiTheme="minorHAnsi" w:cstheme="minorHAnsi"/>
          <w:spacing w:val="-2"/>
        </w:rPr>
        <w:t xml:space="preserve"> da </w:t>
      </w:r>
      <w:r w:rsidRPr="00356B3E">
        <w:rPr>
          <w:rFonts w:asciiTheme="minorHAnsi" w:hAnsiTheme="minorHAnsi" w:cstheme="minorHAnsi"/>
          <w:b/>
          <w:bCs/>
          <w:spacing w:val="-2"/>
        </w:rPr>
        <w:t>Directiva 85/337/CEE</w:t>
      </w:r>
      <w:r w:rsidRPr="00356B3E">
        <w:rPr>
          <w:rFonts w:asciiTheme="minorHAnsi" w:hAnsiTheme="minorHAnsi" w:cstheme="minorHAnsi"/>
          <w:spacing w:val="-2"/>
        </w:rPr>
        <w:t xml:space="preserve">, de Avaliación de Impacto Ambiental, en 1985, e mantívose nos </w:t>
      </w:r>
      <w:r w:rsidRPr="00356B3E">
        <w:rPr>
          <w:rFonts w:asciiTheme="minorHAnsi" w:hAnsiTheme="minorHAnsi" w:cstheme="minorHAnsi"/>
          <w:i/>
          <w:iCs/>
          <w:spacing w:val="-2"/>
        </w:rPr>
        <w:t>procedementos</w:t>
      </w:r>
      <w:r w:rsidRPr="00356B3E">
        <w:rPr>
          <w:rFonts w:asciiTheme="minorHAnsi" w:hAnsiTheme="minorHAnsi" w:cstheme="minorHAnsi"/>
          <w:spacing w:val="-2"/>
        </w:rPr>
        <w:t xml:space="preserve"> e </w:t>
      </w:r>
      <w:r w:rsidRPr="00356B3E">
        <w:rPr>
          <w:rFonts w:asciiTheme="minorHAnsi" w:hAnsiTheme="minorHAnsi" w:cstheme="minorHAnsi"/>
          <w:i/>
          <w:iCs/>
          <w:spacing w:val="-2"/>
        </w:rPr>
        <w:t>obxectivos</w:t>
      </w:r>
      <w:r w:rsidRPr="00356B3E">
        <w:rPr>
          <w:rFonts w:asciiTheme="minorHAnsi" w:hAnsiTheme="minorHAnsi" w:cstheme="minorHAnsi"/>
          <w:spacing w:val="-2"/>
        </w:rPr>
        <w:t xml:space="preserve"> da </w:t>
      </w:r>
      <w:r w:rsidRPr="00356B3E">
        <w:rPr>
          <w:rFonts w:asciiTheme="minorHAnsi" w:hAnsiTheme="minorHAnsi" w:cstheme="minorHAnsi"/>
          <w:b/>
          <w:bCs/>
          <w:spacing w:val="-2"/>
        </w:rPr>
        <w:t>Directiva 2011/92/UE</w:t>
      </w:r>
      <w:r w:rsidRPr="00356B3E">
        <w:rPr>
          <w:rFonts w:asciiTheme="minorHAnsi" w:hAnsiTheme="minorHAnsi" w:cstheme="minorHAnsi"/>
          <w:spacing w:val="-2"/>
        </w:rPr>
        <w:t>, de Avaliación de Impacto Ambiental, en 2011</w:t>
      </w:r>
      <w:r w:rsidRPr="00356B3E">
        <w:rPr>
          <w:rFonts w:asciiTheme="minorHAnsi" w:hAnsiTheme="minorHAnsi" w:cstheme="minorHAnsi"/>
        </w:rPr>
        <w:t>.</w:t>
      </w:r>
    </w:p>
    <w:p w14:paraId="6A83B703" w14:textId="77777777" w:rsidR="00356B3E" w:rsidRPr="00356B3E" w:rsidRDefault="00356B3E" w:rsidP="002A3D8E">
      <w:pPr>
        <w:pStyle w:val="Standard"/>
        <w:snapToGrid w:val="0"/>
        <w:spacing w:before="120" w:after="113"/>
        <w:jc w:val="both"/>
        <w:rPr>
          <w:rFonts w:asciiTheme="minorHAnsi" w:hAnsiTheme="minorHAnsi" w:cstheme="minorHAnsi"/>
        </w:rPr>
      </w:pPr>
      <w:r w:rsidRPr="00356B3E">
        <w:rPr>
          <w:rFonts w:asciiTheme="minorHAnsi" w:hAnsiTheme="minorHAnsi" w:cstheme="minorHAnsi"/>
          <w:spacing w:val="-2"/>
        </w:rPr>
        <w:t xml:space="preserve">Tamén foi incorporado nos </w:t>
      </w:r>
      <w:r w:rsidRPr="00356B3E">
        <w:rPr>
          <w:rFonts w:asciiTheme="minorHAnsi" w:hAnsiTheme="minorHAnsi" w:cstheme="minorHAnsi"/>
          <w:i/>
          <w:iCs/>
          <w:spacing w:val="-2"/>
        </w:rPr>
        <w:t>obxectivos</w:t>
      </w:r>
      <w:r w:rsidRPr="00356B3E">
        <w:rPr>
          <w:rFonts w:asciiTheme="minorHAnsi" w:hAnsiTheme="minorHAnsi" w:cstheme="minorHAnsi"/>
          <w:spacing w:val="-2"/>
        </w:rPr>
        <w:t xml:space="preserve"> da </w:t>
      </w:r>
      <w:r w:rsidRPr="00356B3E">
        <w:rPr>
          <w:rFonts w:asciiTheme="minorHAnsi" w:hAnsiTheme="minorHAnsi" w:cstheme="minorHAnsi"/>
          <w:b/>
          <w:bCs/>
          <w:spacing w:val="-2"/>
        </w:rPr>
        <w:t>Directiva 2001/42/CE</w:t>
      </w:r>
      <w:r w:rsidRPr="00356B3E">
        <w:rPr>
          <w:rFonts w:asciiTheme="minorHAnsi" w:hAnsiTheme="minorHAnsi" w:cstheme="minorHAnsi"/>
          <w:spacing w:val="-2"/>
        </w:rPr>
        <w:t>, de Avaliación Ambiental Estratéxica, en 2011.</w:t>
      </w:r>
    </w:p>
    <w:p w14:paraId="52CCB05F" w14:textId="7224538C" w:rsidR="00356B3E" w:rsidRPr="00356B3E" w:rsidRDefault="00356B3E" w:rsidP="002A3D8E">
      <w:pPr>
        <w:pStyle w:val="Standard"/>
        <w:snapToGrid w:val="0"/>
        <w:spacing w:before="120"/>
        <w:jc w:val="both"/>
        <w:rPr>
          <w:rFonts w:asciiTheme="minorHAnsi" w:hAnsiTheme="minorHAnsi" w:cstheme="minorHAnsi"/>
        </w:rPr>
      </w:pPr>
      <w:r w:rsidRPr="00356B3E">
        <w:rPr>
          <w:rFonts w:asciiTheme="minorHAnsi" w:hAnsiTheme="minorHAnsi" w:cstheme="minorHAnsi"/>
          <w:spacing w:val="-2"/>
        </w:rPr>
        <w:t xml:space="preserve">Finalmente foi  incorporado nos </w:t>
      </w:r>
      <w:r w:rsidRPr="00356B3E">
        <w:rPr>
          <w:rFonts w:asciiTheme="minorHAnsi" w:hAnsiTheme="minorHAnsi" w:cstheme="minorHAnsi"/>
          <w:i/>
          <w:iCs/>
          <w:spacing w:val="-2"/>
        </w:rPr>
        <w:t>obxectivos</w:t>
      </w:r>
      <w:r w:rsidRPr="00356B3E">
        <w:rPr>
          <w:rFonts w:asciiTheme="minorHAnsi" w:hAnsiTheme="minorHAnsi" w:cstheme="minorHAnsi"/>
          <w:spacing w:val="-2"/>
        </w:rPr>
        <w:t xml:space="preserve"> e </w:t>
      </w:r>
      <w:r w:rsidRPr="00356B3E">
        <w:rPr>
          <w:rFonts w:asciiTheme="minorHAnsi" w:hAnsiTheme="minorHAnsi" w:cstheme="minorHAnsi"/>
          <w:i/>
          <w:iCs/>
          <w:spacing w:val="-2"/>
        </w:rPr>
        <w:t>principios</w:t>
      </w:r>
      <w:r w:rsidRPr="00356B3E">
        <w:rPr>
          <w:rFonts w:asciiTheme="minorHAnsi" w:hAnsiTheme="minorHAnsi" w:cstheme="minorHAnsi"/>
          <w:spacing w:val="-2"/>
        </w:rPr>
        <w:t xml:space="preserve"> da </w:t>
      </w:r>
      <w:r w:rsidRPr="00356B3E">
        <w:rPr>
          <w:rFonts w:asciiTheme="minorHAnsi" w:hAnsiTheme="minorHAnsi" w:cstheme="minorHAnsi"/>
          <w:b/>
          <w:bCs/>
          <w:spacing w:val="-2"/>
        </w:rPr>
        <w:t>Lei estatal 21/2013</w:t>
      </w:r>
      <w:r w:rsidRPr="00356B3E">
        <w:rPr>
          <w:rFonts w:asciiTheme="minorHAnsi" w:hAnsiTheme="minorHAnsi" w:cstheme="minorHAnsi"/>
          <w:spacing w:val="-2"/>
        </w:rPr>
        <w:t>, de Avaliación Ambiental:</w:t>
      </w:r>
    </w:p>
    <w:p w14:paraId="11970980" w14:textId="1360F20F" w:rsidR="00356B3E" w:rsidRPr="00356B3E" w:rsidRDefault="0017543F" w:rsidP="00246A53">
      <w:pPr>
        <w:pStyle w:val="Standard"/>
        <w:widowControl w:val="0"/>
        <w:numPr>
          <w:ilvl w:val="1"/>
          <w:numId w:val="20"/>
        </w:numPr>
        <w:snapToGrid w:val="0"/>
        <w:spacing w:before="120" w:after="57"/>
        <w:ind w:left="426" w:hanging="426"/>
        <w:jc w:val="both"/>
        <w:textAlignment w:val="auto"/>
        <w:rPr>
          <w:rFonts w:asciiTheme="minorHAnsi" w:hAnsiTheme="minorHAnsi" w:cstheme="minorHAnsi"/>
        </w:rPr>
      </w:pPr>
      <w:hyperlink r:id="rId32" w:history="1">
        <w:r w:rsidR="00356B3E" w:rsidRPr="008F12C5">
          <w:rPr>
            <w:rStyle w:val="Hipervnculo"/>
            <w:rFonts w:asciiTheme="minorHAnsi" w:hAnsiTheme="minorHAnsi" w:cstheme="minorHAnsi"/>
            <w:b/>
            <w:bCs/>
          </w:rPr>
          <w:t>Tratado Constitutivo da Comunidade Europea (TCCE)</w:t>
        </w:r>
      </w:hyperlink>
      <w:r w:rsidR="008F12C5">
        <w:rPr>
          <w:rStyle w:val="Refdenotaalpie"/>
          <w:rFonts w:asciiTheme="minorHAnsi" w:hAnsiTheme="minorHAnsi"/>
          <w:b/>
          <w:bCs/>
        </w:rPr>
        <w:footnoteReference w:id="19"/>
      </w:r>
      <w:r w:rsidR="00356B3E" w:rsidRPr="00356B3E">
        <w:rPr>
          <w:rFonts w:asciiTheme="minorHAnsi" w:hAnsiTheme="minorHAnsi" w:cstheme="minorHAnsi"/>
          <w:b/>
          <w:bCs/>
        </w:rPr>
        <w:t>. Maastricht, 1992.</w:t>
      </w:r>
    </w:p>
    <w:p w14:paraId="5B341679" w14:textId="784EFA18" w:rsidR="00DD30BA" w:rsidRDefault="00356B3E" w:rsidP="002A3D8E">
      <w:pPr>
        <w:pStyle w:val="Standard"/>
        <w:snapToGrid w:val="0"/>
        <w:spacing w:before="120" w:after="57"/>
        <w:ind w:left="708"/>
        <w:jc w:val="both"/>
        <w:rPr>
          <w:sz w:val="20"/>
          <w:szCs w:val="20"/>
        </w:rPr>
      </w:pPr>
      <w:r w:rsidRPr="00356B3E">
        <w:rPr>
          <w:rFonts w:asciiTheme="minorHAnsi" w:hAnsiTheme="minorHAnsi" w:cstheme="minorHAnsi"/>
        </w:rPr>
        <w:t>Título XVI: Medio Ambiente. Artigo 130 R.- 2.</w:t>
      </w:r>
    </w:p>
    <w:p w14:paraId="3BCC5AF2" w14:textId="77777777" w:rsidR="00356B3E" w:rsidRPr="00DD30BA" w:rsidRDefault="00356B3E" w:rsidP="002A3D8E">
      <w:pPr>
        <w:spacing w:before="120" w:after="0" w:line="240" w:lineRule="auto"/>
        <w:ind w:left="1418"/>
        <w:rPr>
          <w:i/>
          <w:sz w:val="20"/>
          <w:szCs w:val="20"/>
        </w:rPr>
      </w:pPr>
      <w:r w:rsidRPr="00DD30BA">
        <w:rPr>
          <w:i/>
          <w:sz w:val="20"/>
          <w:szCs w:val="20"/>
        </w:rPr>
        <w:t>... Las exigencias de la protección del medio ambiente deberán integrarse en la definición y en la realización de las demás políticas de la Comunidad.</w:t>
      </w:r>
    </w:p>
    <w:p w14:paraId="3ED209AC" w14:textId="37414605" w:rsidR="00356B3E" w:rsidRPr="00356B3E" w:rsidRDefault="0017543F" w:rsidP="00246A53">
      <w:pPr>
        <w:pStyle w:val="Standard"/>
        <w:widowControl w:val="0"/>
        <w:numPr>
          <w:ilvl w:val="1"/>
          <w:numId w:val="20"/>
        </w:numPr>
        <w:snapToGrid w:val="0"/>
        <w:spacing w:before="120" w:after="57"/>
        <w:ind w:left="426" w:hanging="426"/>
        <w:jc w:val="both"/>
        <w:textAlignment w:val="auto"/>
        <w:rPr>
          <w:rFonts w:asciiTheme="minorHAnsi" w:hAnsiTheme="minorHAnsi" w:cstheme="minorHAnsi"/>
        </w:rPr>
      </w:pPr>
      <w:hyperlink r:id="rId33" w:history="1">
        <w:r w:rsidR="00356B3E" w:rsidRPr="008F12C5">
          <w:rPr>
            <w:rStyle w:val="Hipervnculo"/>
            <w:rFonts w:asciiTheme="minorHAnsi" w:hAnsiTheme="minorHAnsi" w:cstheme="minorHAnsi"/>
            <w:b/>
            <w:bCs/>
          </w:rPr>
          <w:t>Tratado de Funcionamento da Unión Europea (TFUE)</w:t>
        </w:r>
      </w:hyperlink>
      <w:r w:rsidR="008F12C5">
        <w:rPr>
          <w:rStyle w:val="Refdenotaalpie"/>
          <w:rFonts w:asciiTheme="minorHAnsi" w:hAnsiTheme="minorHAnsi"/>
          <w:b/>
          <w:bCs/>
        </w:rPr>
        <w:footnoteReference w:id="20"/>
      </w:r>
      <w:r w:rsidR="00356B3E" w:rsidRPr="00356B3E">
        <w:rPr>
          <w:rFonts w:asciiTheme="minorHAnsi" w:hAnsiTheme="minorHAnsi" w:cstheme="minorHAnsi"/>
          <w:b/>
          <w:bCs/>
        </w:rPr>
        <w:t>. Lisboa, 2007.</w:t>
      </w:r>
    </w:p>
    <w:p w14:paraId="1AC9E866" w14:textId="77777777" w:rsidR="00356B3E" w:rsidRPr="00356B3E" w:rsidRDefault="00356B3E" w:rsidP="002A3D8E">
      <w:pPr>
        <w:pStyle w:val="Standard"/>
        <w:snapToGrid w:val="0"/>
        <w:spacing w:before="120" w:after="57"/>
        <w:ind w:left="566"/>
        <w:jc w:val="both"/>
        <w:rPr>
          <w:rFonts w:asciiTheme="minorHAnsi" w:hAnsiTheme="minorHAnsi" w:cstheme="minorHAnsi"/>
        </w:rPr>
      </w:pPr>
      <w:r w:rsidRPr="00356B3E">
        <w:rPr>
          <w:rFonts w:asciiTheme="minorHAnsi" w:hAnsiTheme="minorHAnsi" w:cstheme="minorHAnsi"/>
        </w:rPr>
        <w:t>Primeira Parte. Principios. Artigo 11.</w:t>
      </w:r>
    </w:p>
    <w:p w14:paraId="4EE54D85" w14:textId="77777777" w:rsidR="00356B3E" w:rsidRPr="00DD30BA" w:rsidRDefault="00356B3E" w:rsidP="002A3D8E">
      <w:pPr>
        <w:spacing w:before="120" w:line="240" w:lineRule="auto"/>
        <w:ind w:left="1416"/>
        <w:rPr>
          <w:i/>
          <w:sz w:val="20"/>
          <w:szCs w:val="20"/>
        </w:rPr>
      </w:pPr>
      <w:r w:rsidRPr="00DD30BA">
        <w:rPr>
          <w:i/>
          <w:sz w:val="20"/>
          <w:szCs w:val="20"/>
        </w:rPr>
        <w:t>Las exigencias de la protección del medio ambiente deberán integrarse en la definición y en la realización de las políticas y acciones de la Unión, en particular con el objeto de fomentar un desarrollo sostenible.</w:t>
      </w:r>
    </w:p>
    <w:p w14:paraId="4DDBD78F" w14:textId="77777777" w:rsidR="00356B3E" w:rsidRPr="00356B3E" w:rsidRDefault="00356B3E" w:rsidP="002A3D8E">
      <w:pPr>
        <w:pStyle w:val="Standard"/>
        <w:snapToGrid w:val="0"/>
        <w:spacing w:before="120"/>
        <w:jc w:val="both"/>
        <w:rPr>
          <w:rFonts w:asciiTheme="minorHAnsi" w:hAnsiTheme="minorHAnsi" w:cstheme="minorHAnsi"/>
          <w:i/>
          <w:iCs/>
        </w:rPr>
      </w:pPr>
    </w:p>
    <w:p w14:paraId="05E9668A" w14:textId="77777777" w:rsidR="00356B3E" w:rsidRPr="00356B3E" w:rsidRDefault="00356B3E" w:rsidP="00246A53">
      <w:pPr>
        <w:pStyle w:val="Standard"/>
        <w:widowControl w:val="0"/>
        <w:numPr>
          <w:ilvl w:val="0"/>
          <w:numId w:val="20"/>
        </w:numPr>
        <w:snapToGrid w:val="0"/>
        <w:spacing w:before="120"/>
        <w:ind w:left="426" w:hanging="426"/>
        <w:jc w:val="both"/>
        <w:textAlignment w:val="auto"/>
        <w:rPr>
          <w:rFonts w:asciiTheme="minorHAnsi" w:hAnsiTheme="minorHAnsi" w:cstheme="minorHAnsi"/>
        </w:rPr>
      </w:pPr>
      <w:r w:rsidRPr="00356B3E">
        <w:rPr>
          <w:rFonts w:asciiTheme="minorHAnsi" w:hAnsiTheme="minorHAnsi" w:cstheme="minorHAnsi"/>
          <w:b/>
          <w:bCs/>
        </w:rPr>
        <w:t>Directiva 85/337/CEE, de Avaliación de Impacto Ambiental de Proxectos (AIA). 1985 e</w:t>
      </w:r>
    </w:p>
    <w:p w14:paraId="660F6A96" w14:textId="77777777" w:rsidR="00356B3E" w:rsidRPr="00356B3E" w:rsidRDefault="00356B3E" w:rsidP="00246A53">
      <w:pPr>
        <w:pStyle w:val="Standard"/>
        <w:widowControl w:val="0"/>
        <w:numPr>
          <w:ilvl w:val="0"/>
          <w:numId w:val="20"/>
        </w:numPr>
        <w:snapToGrid w:val="0"/>
        <w:spacing w:before="120" w:after="57"/>
        <w:ind w:left="426" w:hanging="426"/>
        <w:jc w:val="both"/>
        <w:textAlignment w:val="auto"/>
        <w:rPr>
          <w:rFonts w:asciiTheme="minorHAnsi" w:hAnsiTheme="minorHAnsi" w:cstheme="minorHAnsi"/>
        </w:rPr>
      </w:pPr>
      <w:r w:rsidRPr="00356B3E">
        <w:rPr>
          <w:rFonts w:asciiTheme="minorHAnsi" w:hAnsiTheme="minorHAnsi" w:cstheme="minorHAnsi"/>
          <w:b/>
          <w:bCs/>
        </w:rPr>
        <w:t>Directiva 2011/92/UE, de Avaliación de Impacto Ambiental de Proxectos (AIA). 2011</w:t>
      </w:r>
    </w:p>
    <w:p w14:paraId="4E3DD355" w14:textId="77777777" w:rsidR="00356B3E" w:rsidRPr="00356B3E" w:rsidRDefault="00356B3E" w:rsidP="00246A53">
      <w:pPr>
        <w:pStyle w:val="Standard"/>
        <w:widowControl w:val="0"/>
        <w:numPr>
          <w:ilvl w:val="0"/>
          <w:numId w:val="20"/>
        </w:numPr>
        <w:snapToGrid w:val="0"/>
        <w:spacing w:before="120" w:after="57"/>
        <w:ind w:left="426" w:hanging="426"/>
        <w:jc w:val="both"/>
        <w:textAlignment w:val="auto"/>
        <w:rPr>
          <w:rFonts w:asciiTheme="minorHAnsi" w:hAnsiTheme="minorHAnsi" w:cstheme="minorHAnsi"/>
        </w:rPr>
      </w:pPr>
      <w:r w:rsidRPr="00356B3E">
        <w:rPr>
          <w:rFonts w:asciiTheme="minorHAnsi" w:hAnsiTheme="minorHAnsi" w:cstheme="minorHAnsi"/>
          <w:b/>
          <w:bCs/>
        </w:rPr>
        <w:t>Directiva 2011/92/UE, de Avaliación de Impacto Ambiental de Proxectos (AIA). 2011</w:t>
      </w:r>
    </w:p>
    <w:p w14:paraId="74D77114" w14:textId="77777777" w:rsidR="00356B3E" w:rsidRPr="00356B3E" w:rsidRDefault="00356B3E" w:rsidP="00246A53">
      <w:pPr>
        <w:pStyle w:val="Standard"/>
        <w:widowControl w:val="0"/>
        <w:numPr>
          <w:ilvl w:val="0"/>
          <w:numId w:val="20"/>
        </w:numPr>
        <w:snapToGrid w:val="0"/>
        <w:spacing w:before="120" w:after="113"/>
        <w:ind w:left="426" w:hanging="426"/>
        <w:jc w:val="both"/>
        <w:textAlignment w:val="auto"/>
        <w:rPr>
          <w:rFonts w:asciiTheme="minorHAnsi" w:hAnsiTheme="minorHAnsi" w:cstheme="minorHAnsi"/>
        </w:rPr>
      </w:pPr>
      <w:r w:rsidRPr="00356B3E">
        <w:rPr>
          <w:rFonts w:asciiTheme="minorHAnsi" w:hAnsiTheme="minorHAnsi" w:cstheme="minorHAnsi"/>
          <w:b/>
          <w:bCs/>
        </w:rPr>
        <w:t>Directiva 2001/42/CEE, de Avaliación Ambiental Estratéxica de Plans e Programas (AAE). 2001.</w:t>
      </w:r>
    </w:p>
    <w:p w14:paraId="485496C8" w14:textId="77777777" w:rsidR="00356B3E" w:rsidRPr="00356B3E" w:rsidRDefault="00356B3E" w:rsidP="00246A53">
      <w:pPr>
        <w:pStyle w:val="Standard"/>
        <w:widowControl w:val="0"/>
        <w:numPr>
          <w:ilvl w:val="0"/>
          <w:numId w:val="20"/>
        </w:numPr>
        <w:snapToGrid w:val="0"/>
        <w:spacing w:before="120" w:after="113"/>
        <w:ind w:left="426" w:hanging="426"/>
        <w:jc w:val="both"/>
        <w:textAlignment w:val="auto"/>
        <w:rPr>
          <w:rFonts w:asciiTheme="minorHAnsi" w:hAnsiTheme="minorHAnsi" w:cstheme="minorHAnsi"/>
        </w:rPr>
      </w:pPr>
      <w:r w:rsidRPr="00356B3E">
        <w:rPr>
          <w:rFonts w:asciiTheme="minorHAnsi" w:hAnsiTheme="minorHAnsi" w:cstheme="minorHAnsi"/>
          <w:b/>
          <w:bCs/>
        </w:rPr>
        <w:t>Lei (ES) 21/2013, de Avaliación Ambiental (AA). 2013</w:t>
      </w:r>
    </w:p>
    <w:p w14:paraId="7C7770DC" w14:textId="77777777" w:rsidR="00356B3E" w:rsidRPr="00356B3E" w:rsidRDefault="00356B3E" w:rsidP="002A3D8E">
      <w:pPr>
        <w:pStyle w:val="Standard"/>
        <w:snapToGrid w:val="0"/>
        <w:spacing w:before="120" w:after="113"/>
        <w:jc w:val="both"/>
        <w:rPr>
          <w:rFonts w:asciiTheme="minorHAnsi" w:hAnsiTheme="minorHAnsi" w:cstheme="minorHAnsi"/>
        </w:rPr>
      </w:pPr>
      <w:r w:rsidRPr="00356B3E">
        <w:rPr>
          <w:rFonts w:asciiTheme="minorHAnsi" w:hAnsiTheme="minorHAnsi" w:cstheme="minorHAnsi"/>
          <w:spacing w:val="-2"/>
        </w:rPr>
        <w:t xml:space="preserve">Resulta moi claro o seguinte parágrafo da </w:t>
      </w:r>
      <w:r w:rsidRPr="00356B3E">
        <w:rPr>
          <w:rFonts w:asciiTheme="minorHAnsi" w:hAnsiTheme="minorHAnsi" w:cstheme="minorHAnsi"/>
          <w:i/>
          <w:iCs/>
          <w:spacing w:val="-2"/>
        </w:rPr>
        <w:t>Guía sobre Avaliación Ambiental</w:t>
      </w:r>
      <w:r w:rsidRPr="00356B3E">
        <w:rPr>
          <w:rFonts w:asciiTheme="minorHAnsi" w:hAnsiTheme="minorHAnsi" w:cstheme="minorHAnsi"/>
          <w:spacing w:val="-2"/>
        </w:rPr>
        <w:t xml:space="preserve"> publicada pola </w:t>
      </w:r>
      <w:r w:rsidRPr="00356B3E">
        <w:rPr>
          <w:rFonts w:asciiTheme="minorHAnsi" w:hAnsiTheme="minorHAnsi" w:cstheme="minorHAnsi"/>
          <w:i/>
          <w:iCs/>
          <w:spacing w:val="-2"/>
        </w:rPr>
        <w:t>Dirección Xeral de Calidade e Avaliación Ambiental</w:t>
      </w:r>
      <w:r w:rsidRPr="00356B3E">
        <w:rPr>
          <w:rFonts w:asciiTheme="minorHAnsi" w:hAnsiTheme="minorHAnsi" w:cstheme="minorHAnsi"/>
          <w:spacing w:val="-2"/>
        </w:rPr>
        <w:t xml:space="preserve"> da Consellería de Medio Ambiente en 2003, e hoxe misteriosamente desaparecida da web da Xunta de Galicia, sen que fose substituída por unha versión actualizada:</w:t>
      </w:r>
    </w:p>
    <w:p w14:paraId="0D31A3DB" w14:textId="77777777" w:rsidR="00356B3E" w:rsidRPr="00356B3E" w:rsidRDefault="00356B3E" w:rsidP="002A3D8E">
      <w:pPr>
        <w:pStyle w:val="Standard"/>
        <w:snapToGrid w:val="0"/>
        <w:spacing w:before="120"/>
        <w:ind w:left="283"/>
        <w:jc w:val="both"/>
        <w:rPr>
          <w:rFonts w:asciiTheme="minorHAnsi" w:hAnsiTheme="minorHAnsi" w:cstheme="minorHAnsi"/>
        </w:rPr>
      </w:pPr>
      <w:r w:rsidRPr="00356B3E">
        <w:rPr>
          <w:rFonts w:asciiTheme="minorHAnsi" w:hAnsiTheme="minorHAnsi" w:cstheme="minorHAnsi"/>
        </w:rPr>
        <w:t>Xunta de Galicia - Consellería de Medio Ambiente</w:t>
      </w:r>
    </w:p>
    <w:p w14:paraId="4467CCAB" w14:textId="77777777" w:rsidR="00356B3E" w:rsidRPr="00356B3E" w:rsidRDefault="00356B3E" w:rsidP="002A3D8E">
      <w:pPr>
        <w:pStyle w:val="Standard"/>
        <w:snapToGrid w:val="0"/>
        <w:spacing w:before="120"/>
        <w:ind w:left="283"/>
        <w:jc w:val="both"/>
        <w:rPr>
          <w:rFonts w:asciiTheme="minorHAnsi" w:hAnsiTheme="minorHAnsi" w:cstheme="minorHAnsi"/>
        </w:rPr>
      </w:pPr>
      <w:r w:rsidRPr="00356B3E">
        <w:rPr>
          <w:rFonts w:asciiTheme="minorHAnsi" w:hAnsiTheme="minorHAnsi" w:cstheme="minorHAnsi"/>
        </w:rPr>
        <w:t>Dirección Xeral de Calidade e Avaliación Ambiental</w:t>
      </w:r>
    </w:p>
    <w:p w14:paraId="5D239A3B" w14:textId="77777777" w:rsidR="00356B3E" w:rsidRPr="00356B3E" w:rsidRDefault="00356B3E" w:rsidP="002A3D8E">
      <w:pPr>
        <w:pStyle w:val="Standard"/>
        <w:snapToGrid w:val="0"/>
        <w:spacing w:before="120" w:after="113"/>
        <w:ind w:left="283"/>
        <w:jc w:val="both"/>
        <w:rPr>
          <w:rFonts w:asciiTheme="minorHAnsi" w:hAnsiTheme="minorHAnsi" w:cstheme="minorHAnsi"/>
        </w:rPr>
      </w:pPr>
      <w:r w:rsidRPr="00356B3E">
        <w:rPr>
          <w:rFonts w:asciiTheme="minorHAnsi" w:hAnsiTheme="minorHAnsi" w:cstheme="minorHAnsi"/>
        </w:rPr>
        <w:t>Guía informativa sobre a Avaliación Ambiental en Galicia - 2003</w:t>
      </w:r>
    </w:p>
    <w:p w14:paraId="39E0A8AB" w14:textId="77777777" w:rsidR="00356B3E" w:rsidRPr="00356B3E" w:rsidRDefault="00356B3E" w:rsidP="002A3D8E">
      <w:pPr>
        <w:pStyle w:val="Standard"/>
        <w:snapToGrid w:val="0"/>
        <w:spacing w:before="120"/>
        <w:ind w:left="283"/>
        <w:jc w:val="both"/>
        <w:rPr>
          <w:rFonts w:asciiTheme="minorHAnsi" w:hAnsiTheme="minorHAnsi" w:cstheme="minorHAnsi"/>
        </w:rPr>
      </w:pPr>
      <w:r w:rsidRPr="00356B3E">
        <w:rPr>
          <w:rFonts w:asciiTheme="minorHAnsi" w:hAnsiTheme="minorHAnsi" w:cstheme="minorHAnsi"/>
        </w:rPr>
        <w:t>Diferentes tipos de avaliación en Galicia (páxina 3).</w:t>
      </w:r>
    </w:p>
    <w:p w14:paraId="7AB37CC9" w14:textId="77777777" w:rsidR="00356B3E" w:rsidRPr="00356B3E" w:rsidRDefault="00356B3E" w:rsidP="002A3D8E">
      <w:pPr>
        <w:pStyle w:val="Standard"/>
        <w:snapToGrid w:val="0"/>
        <w:spacing w:before="120" w:after="113"/>
        <w:ind w:left="283"/>
        <w:jc w:val="both"/>
        <w:rPr>
          <w:rFonts w:asciiTheme="minorHAnsi" w:hAnsiTheme="minorHAnsi" w:cstheme="minorHAnsi"/>
        </w:rPr>
      </w:pPr>
      <w:r w:rsidRPr="00356B3E">
        <w:rPr>
          <w:rFonts w:asciiTheme="minorHAnsi" w:hAnsiTheme="minorHAnsi" w:cstheme="minorHAnsi"/>
        </w:rPr>
        <w:t>Segundo parágrafo:</w:t>
      </w:r>
    </w:p>
    <w:p w14:paraId="52C734F6" w14:textId="77777777" w:rsidR="00356B3E" w:rsidRPr="00356B3E" w:rsidRDefault="00356B3E" w:rsidP="002A3D8E">
      <w:pPr>
        <w:pStyle w:val="Standard"/>
        <w:snapToGrid w:val="0"/>
        <w:spacing w:before="120"/>
        <w:ind w:left="566"/>
        <w:jc w:val="both"/>
        <w:rPr>
          <w:rFonts w:asciiTheme="minorHAnsi" w:hAnsiTheme="minorHAnsi" w:cstheme="minorHAnsi"/>
          <w:i/>
        </w:rPr>
      </w:pPr>
      <w:r w:rsidRPr="00356B3E">
        <w:rPr>
          <w:rFonts w:asciiTheme="minorHAnsi" w:hAnsiTheme="minorHAnsi" w:cstheme="minorHAnsi"/>
          <w:i/>
        </w:rPr>
        <w:t xml:space="preserve">É </w:t>
      </w:r>
      <w:r w:rsidRPr="004B1B5F">
        <w:rPr>
          <w:rFonts w:asciiTheme="minorHAnsi" w:hAnsiTheme="minorHAnsi" w:cstheme="minorHAnsi"/>
          <w:b/>
          <w:i/>
        </w:rPr>
        <w:t>condición indispensable que a avaliación ambiental se realice paralelamente ó desenvolvemento do proxecto básico</w:t>
      </w:r>
      <w:r w:rsidRPr="00356B3E">
        <w:rPr>
          <w:rFonts w:asciiTheme="minorHAnsi" w:hAnsiTheme="minorHAnsi" w:cstheme="minorHAnsi"/>
          <w:i/>
        </w:rPr>
        <w:t xml:space="preserve">; soamente desta maneira se pode asegurar que o valorado no estudio </w:t>
      </w:r>
      <w:r w:rsidRPr="00356B3E">
        <w:rPr>
          <w:rFonts w:asciiTheme="minorHAnsi" w:hAnsiTheme="minorHAnsi" w:cstheme="minorHAnsi"/>
          <w:b/>
          <w:bCs/>
          <w:i/>
        </w:rPr>
        <w:t>se integra o antes posible no proceso de toma de decisións</w:t>
      </w:r>
      <w:r w:rsidRPr="00356B3E">
        <w:rPr>
          <w:rFonts w:asciiTheme="minorHAnsi" w:hAnsiTheme="minorHAnsi" w:cstheme="minorHAnsi"/>
          <w:i/>
        </w:rPr>
        <w:t xml:space="preserve">. Para isto é fundamental que o equipo que realiza o estudio ambiental traballe da forma máis </w:t>
      </w:r>
      <w:r w:rsidRPr="00356B3E">
        <w:rPr>
          <w:rFonts w:asciiTheme="minorHAnsi" w:hAnsiTheme="minorHAnsi" w:cstheme="minorHAnsi"/>
          <w:i/>
        </w:rPr>
        <w:lastRenderedPageBreak/>
        <w:t xml:space="preserve">coordinada posible co equipo que desenvolve o proxecto, e </w:t>
      </w:r>
      <w:r w:rsidRPr="00356B3E">
        <w:rPr>
          <w:rFonts w:asciiTheme="minorHAnsi" w:eastAsia="Calibri" w:hAnsiTheme="minorHAnsi" w:cstheme="minorHAnsi"/>
          <w:i/>
          <w:lang w:val="gl-ES"/>
        </w:rPr>
        <w:t>a ser posible que ámbolos equipos estean integrados.</w:t>
      </w:r>
    </w:p>
    <w:p w14:paraId="4002804E" w14:textId="77777777" w:rsidR="00356B3E" w:rsidRPr="00356B3E" w:rsidRDefault="00356B3E" w:rsidP="00A75472">
      <w:pPr>
        <w:pStyle w:val="Prrafodelista"/>
        <w:shd w:val="clear" w:color="auto" w:fill="FFFFFF"/>
        <w:ind w:left="1276" w:right="720"/>
        <w:jc w:val="both"/>
        <w:rPr>
          <w:kern w:val="16"/>
          <w:lang w:eastAsia="es-ES"/>
        </w:rPr>
      </w:pPr>
    </w:p>
    <w:p w14:paraId="75CB8D43" w14:textId="77777777" w:rsidR="009B3A3A" w:rsidRPr="00501ECF" w:rsidRDefault="009B3A3A" w:rsidP="00501ECF">
      <w:pPr>
        <w:pStyle w:val="Prrafodelista"/>
        <w:autoSpaceDE w:val="0"/>
        <w:autoSpaceDN w:val="0"/>
        <w:adjustRightInd w:val="0"/>
        <w:ind w:left="0"/>
        <w:jc w:val="both"/>
        <w:rPr>
          <w:iCs/>
          <w:sz w:val="24"/>
          <w:szCs w:val="24"/>
        </w:rPr>
      </w:pPr>
    </w:p>
    <w:p w14:paraId="7A63E3EA" w14:textId="77777777" w:rsidR="004022F0" w:rsidRPr="00501ECF" w:rsidRDefault="004022F0" w:rsidP="00A75472">
      <w:pPr>
        <w:pStyle w:val="Prrafodelista"/>
        <w:autoSpaceDE w:val="0"/>
        <w:autoSpaceDN w:val="0"/>
        <w:adjustRightInd w:val="0"/>
        <w:ind w:left="709"/>
        <w:jc w:val="both"/>
        <w:rPr>
          <w:color w:val="000000"/>
          <w:sz w:val="24"/>
          <w:szCs w:val="24"/>
        </w:rPr>
      </w:pPr>
    </w:p>
    <w:p w14:paraId="4B94D69E" w14:textId="4E732DC3" w:rsidR="009B3A3A" w:rsidRPr="004022F0" w:rsidRDefault="009B3A3A" w:rsidP="00246A53">
      <w:pPr>
        <w:pStyle w:val="Default"/>
        <w:numPr>
          <w:ilvl w:val="0"/>
          <w:numId w:val="11"/>
        </w:numPr>
        <w:shd w:val="clear" w:color="auto" w:fill="C6D9F1"/>
        <w:spacing w:before="120"/>
        <w:ind w:left="1843" w:hanging="1843"/>
        <w:jc w:val="both"/>
        <w:outlineLvl w:val="0"/>
        <w:rPr>
          <w:rFonts w:ascii="Calibri" w:hAnsi="Calibri" w:cs="Calibri"/>
          <w:b/>
        </w:rPr>
      </w:pPr>
      <w:bookmarkStart w:id="31" w:name="_Toc87813569"/>
      <w:bookmarkStart w:id="32" w:name="_Toc87980517"/>
      <w:bookmarkStart w:id="33" w:name="_Toc132510945"/>
      <w:r w:rsidRPr="004022F0">
        <w:rPr>
          <w:rFonts w:ascii="Calibri" w:hAnsi="Calibri" w:cs="Calibri"/>
          <w:b/>
        </w:rPr>
        <w:t xml:space="preserve">O parque eólico </w:t>
      </w:r>
      <w:r w:rsidR="001866F5">
        <w:rPr>
          <w:rFonts w:ascii="Calibri" w:hAnsi="Calibri" w:cs="Calibri"/>
          <w:b/>
        </w:rPr>
        <w:t>Tor</w:t>
      </w:r>
      <w:r w:rsidR="00674279">
        <w:rPr>
          <w:rFonts w:ascii="Calibri" w:hAnsi="Calibri" w:cs="Calibri"/>
          <w:b/>
        </w:rPr>
        <w:t>r</w:t>
      </w:r>
      <w:r w:rsidR="001866F5">
        <w:rPr>
          <w:rFonts w:ascii="Calibri" w:hAnsi="Calibri" w:cs="Calibri"/>
          <w:b/>
        </w:rPr>
        <w:t>oña</w:t>
      </w:r>
      <w:r w:rsidR="00674279">
        <w:rPr>
          <w:rFonts w:ascii="Calibri" w:hAnsi="Calibri" w:cs="Calibri"/>
          <w:b/>
        </w:rPr>
        <w:t xml:space="preserve"> I</w:t>
      </w:r>
      <w:r w:rsidRPr="004022F0">
        <w:rPr>
          <w:rFonts w:ascii="Calibri" w:hAnsi="Calibri" w:cs="Calibri"/>
          <w:b/>
        </w:rPr>
        <w:t xml:space="preserve"> </w:t>
      </w:r>
      <w:r w:rsidR="001866F5">
        <w:rPr>
          <w:rFonts w:ascii="Calibri" w:hAnsi="Calibri" w:cs="Calibri"/>
          <w:b/>
        </w:rPr>
        <w:t>é</w:t>
      </w:r>
      <w:r w:rsidRPr="004022F0">
        <w:rPr>
          <w:rFonts w:ascii="Calibri" w:hAnsi="Calibri" w:cs="Calibri"/>
          <w:b/>
        </w:rPr>
        <w:t xml:space="preserve"> incompatible co Planeamento Urbanístico.</w:t>
      </w:r>
      <w:bookmarkEnd w:id="31"/>
      <w:bookmarkEnd w:id="32"/>
      <w:bookmarkEnd w:id="33"/>
    </w:p>
    <w:p w14:paraId="0E6ACD14" w14:textId="77777777" w:rsidR="00D2453A" w:rsidRDefault="00D2453A" w:rsidP="008B4C1D">
      <w:pPr>
        <w:spacing w:after="0" w:line="240" w:lineRule="auto"/>
        <w:jc w:val="both"/>
        <w:rPr>
          <w:color w:val="000000"/>
          <w:sz w:val="24"/>
          <w:szCs w:val="24"/>
        </w:rPr>
      </w:pPr>
    </w:p>
    <w:p w14:paraId="49474F6C" w14:textId="1A7744AC" w:rsidR="009B3A3A" w:rsidRPr="00501ECF" w:rsidRDefault="009B3A3A" w:rsidP="008B4C1D">
      <w:pPr>
        <w:spacing w:after="0" w:line="240" w:lineRule="auto"/>
        <w:jc w:val="both"/>
        <w:rPr>
          <w:color w:val="000000"/>
          <w:sz w:val="24"/>
          <w:szCs w:val="24"/>
        </w:rPr>
      </w:pPr>
      <w:r w:rsidRPr="00501ECF">
        <w:rPr>
          <w:color w:val="000000"/>
          <w:sz w:val="24"/>
          <w:szCs w:val="24"/>
        </w:rPr>
        <w:t>O Promotor propón a modificación da cualificación urbanística e regulación detallada do uso pormenorizado do chan para recalificalo como chan rústico de especial protección de infraestructuras.</w:t>
      </w:r>
      <w:r w:rsidR="008415BE">
        <w:rPr>
          <w:color w:val="000000"/>
          <w:sz w:val="24"/>
          <w:szCs w:val="24"/>
        </w:rPr>
        <w:t xml:space="preserve"> (páxina </w:t>
      </w:r>
      <w:r w:rsidR="00D2453A">
        <w:rPr>
          <w:color w:val="000000"/>
          <w:sz w:val="24"/>
          <w:szCs w:val="24"/>
        </w:rPr>
        <w:t>52</w:t>
      </w:r>
      <w:r w:rsidR="008415BE">
        <w:rPr>
          <w:color w:val="000000"/>
          <w:sz w:val="24"/>
          <w:szCs w:val="24"/>
        </w:rPr>
        <w:t xml:space="preserve"> do Proxecto de Interese Autonómico)</w:t>
      </w:r>
    </w:p>
    <w:p w14:paraId="4FBED0FA" w14:textId="77777777" w:rsidR="009B3A3A" w:rsidRPr="00501ECF" w:rsidRDefault="009B3A3A" w:rsidP="008B4C1D">
      <w:pPr>
        <w:spacing w:after="0" w:line="240" w:lineRule="auto"/>
        <w:jc w:val="both"/>
        <w:rPr>
          <w:color w:val="000000"/>
          <w:sz w:val="24"/>
          <w:szCs w:val="24"/>
        </w:rPr>
      </w:pPr>
    </w:p>
    <w:p w14:paraId="6663F27E" w14:textId="77777777" w:rsidR="009B3A3A" w:rsidRPr="00501ECF" w:rsidRDefault="009B3A3A" w:rsidP="008B4C1D">
      <w:pPr>
        <w:jc w:val="both"/>
        <w:rPr>
          <w:color w:val="000000"/>
          <w:sz w:val="24"/>
          <w:szCs w:val="24"/>
        </w:rPr>
      </w:pPr>
      <w:r w:rsidRPr="00501ECF">
        <w:rPr>
          <w:color w:val="000000"/>
          <w:sz w:val="24"/>
          <w:szCs w:val="24"/>
        </w:rPr>
        <w:t>Segundo o artigo 34.4 da Lei 2/2016, de 10 de febrero, do chan de Galicia “</w:t>
      </w:r>
      <w:r w:rsidRPr="00501ECF">
        <w:rPr>
          <w:i/>
          <w:iCs/>
          <w:color w:val="000000"/>
          <w:sz w:val="24"/>
          <w:szCs w:val="24"/>
        </w:rPr>
        <w:t>cando un terreo, polas súas características, poida corresponder a varias categorías de chan rústico de especial protección, aplicaranse os distintos réximes de forma complementaria”</w:t>
      </w:r>
      <w:r w:rsidRPr="00501ECF">
        <w:rPr>
          <w:color w:val="000000"/>
          <w:sz w:val="24"/>
          <w:szCs w:val="24"/>
        </w:rPr>
        <w:t xml:space="preserve"> polo que ten que prevalecer aquel que outorgue unha maior protección, que non é o chan rústico de especial protección de infraestructuras. </w:t>
      </w:r>
    </w:p>
    <w:p w14:paraId="235AA64A" w14:textId="77777777" w:rsidR="009B3A3A" w:rsidRPr="00501ECF" w:rsidRDefault="009B3A3A" w:rsidP="008B4C1D">
      <w:pPr>
        <w:jc w:val="both"/>
        <w:rPr>
          <w:color w:val="000000"/>
          <w:sz w:val="24"/>
          <w:szCs w:val="24"/>
        </w:rPr>
      </w:pPr>
      <w:r w:rsidRPr="00501ECF">
        <w:rPr>
          <w:color w:val="000000"/>
          <w:sz w:val="24"/>
          <w:szCs w:val="24"/>
        </w:rPr>
        <w:t>Esta recalificación urbanística pretendida polo promotor, non se ampara legalmente frente ao chan rústico de protección forestal, o chan rústico de protección paisaxístico, o chan rústico de protección de cauces ou o chan rústico de protección de espazos naturais.</w:t>
      </w:r>
    </w:p>
    <w:p w14:paraId="67AA288A" w14:textId="7E9F7AD7" w:rsidR="009B3A3A" w:rsidRPr="00501ECF" w:rsidRDefault="009B3A3A" w:rsidP="008B4C1D">
      <w:pPr>
        <w:jc w:val="both"/>
        <w:rPr>
          <w:color w:val="000000"/>
          <w:sz w:val="24"/>
          <w:szCs w:val="24"/>
        </w:rPr>
      </w:pPr>
      <w:r w:rsidRPr="00501ECF">
        <w:rPr>
          <w:color w:val="000000"/>
          <w:sz w:val="24"/>
          <w:szCs w:val="24"/>
        </w:rPr>
        <w:t xml:space="preserve">Esto fai incompatible o Parque Eólico </w:t>
      </w:r>
      <w:r w:rsidR="008415BE">
        <w:rPr>
          <w:color w:val="000000"/>
          <w:sz w:val="24"/>
          <w:szCs w:val="24"/>
        </w:rPr>
        <w:t>To</w:t>
      </w:r>
      <w:r w:rsidR="00674279">
        <w:rPr>
          <w:color w:val="000000"/>
          <w:sz w:val="24"/>
          <w:szCs w:val="24"/>
        </w:rPr>
        <w:t>r</w:t>
      </w:r>
      <w:r w:rsidR="008415BE">
        <w:rPr>
          <w:color w:val="000000"/>
          <w:sz w:val="24"/>
          <w:szCs w:val="24"/>
        </w:rPr>
        <w:t>roña</w:t>
      </w:r>
      <w:r w:rsidR="00674279">
        <w:rPr>
          <w:color w:val="000000"/>
          <w:sz w:val="24"/>
          <w:szCs w:val="24"/>
        </w:rPr>
        <w:t xml:space="preserve"> I</w:t>
      </w:r>
      <w:r w:rsidRPr="00501ECF">
        <w:rPr>
          <w:color w:val="000000"/>
          <w:sz w:val="24"/>
          <w:szCs w:val="24"/>
        </w:rPr>
        <w:t xml:space="preserve"> coa lexislación urbanística</w:t>
      </w:r>
    </w:p>
    <w:p w14:paraId="05E2372A" w14:textId="77777777" w:rsidR="009B3A3A" w:rsidRPr="00501ECF" w:rsidRDefault="009B3A3A" w:rsidP="008B4C1D">
      <w:pPr>
        <w:jc w:val="both"/>
        <w:rPr>
          <w:color w:val="000000"/>
          <w:sz w:val="24"/>
          <w:szCs w:val="24"/>
        </w:rPr>
      </w:pPr>
      <w:r w:rsidRPr="00501ECF">
        <w:rPr>
          <w:color w:val="000000"/>
          <w:sz w:val="24"/>
          <w:szCs w:val="24"/>
        </w:rPr>
        <w:t xml:space="preserve">Se a esto sumamos a prevalencia da protección ambiental sobre a ordenación territorial e urbanística, segundo o artigo 2 da Lei 42/2007, de 13 de decembro, do Patrimonio Natural e da Biodiversidade: </w:t>
      </w:r>
    </w:p>
    <w:p w14:paraId="526AF17E" w14:textId="77777777" w:rsidR="009B3A3A" w:rsidRPr="00743EBD" w:rsidRDefault="009B3A3A" w:rsidP="00E072D3">
      <w:pPr>
        <w:pStyle w:val="Default"/>
        <w:ind w:left="993" w:right="720"/>
        <w:jc w:val="both"/>
        <w:rPr>
          <w:rFonts w:ascii="Calibri" w:hAnsi="Calibri" w:cs="Calibri"/>
          <w:i/>
          <w:iCs/>
          <w:sz w:val="22"/>
          <w:szCs w:val="22"/>
        </w:rPr>
      </w:pPr>
      <w:r w:rsidRPr="00743EBD">
        <w:rPr>
          <w:rFonts w:ascii="Calibri" w:hAnsi="Calibri" w:cs="Calibri"/>
          <w:i/>
          <w:iCs/>
          <w:sz w:val="22"/>
          <w:szCs w:val="22"/>
        </w:rPr>
        <w:t xml:space="preserve">Artigo 2. Principios. </w:t>
      </w:r>
    </w:p>
    <w:p w14:paraId="6BBF4131" w14:textId="77777777" w:rsidR="009B3A3A" w:rsidRPr="00743EBD" w:rsidRDefault="009B3A3A" w:rsidP="00E072D3">
      <w:pPr>
        <w:pStyle w:val="Default"/>
        <w:spacing w:before="120"/>
        <w:ind w:left="993" w:right="720"/>
        <w:jc w:val="both"/>
        <w:rPr>
          <w:rFonts w:ascii="Calibri" w:hAnsi="Calibri" w:cs="Calibri"/>
          <w:i/>
          <w:iCs/>
          <w:sz w:val="22"/>
          <w:szCs w:val="22"/>
        </w:rPr>
      </w:pPr>
      <w:r w:rsidRPr="00743EBD">
        <w:rPr>
          <w:rFonts w:ascii="Calibri" w:hAnsi="Calibri" w:cs="Calibri"/>
          <w:i/>
          <w:iCs/>
          <w:sz w:val="22"/>
          <w:szCs w:val="22"/>
        </w:rPr>
        <w:t xml:space="preserve">Son principios que inspiran esta lei: </w:t>
      </w:r>
    </w:p>
    <w:p w14:paraId="2334ED83" w14:textId="77777777" w:rsidR="009B3A3A" w:rsidRPr="00743EBD" w:rsidRDefault="009B3A3A" w:rsidP="00246A53">
      <w:pPr>
        <w:pStyle w:val="Default"/>
        <w:numPr>
          <w:ilvl w:val="0"/>
          <w:numId w:val="1"/>
        </w:numPr>
        <w:ind w:left="993" w:right="720" w:firstLine="0"/>
        <w:jc w:val="both"/>
        <w:rPr>
          <w:rFonts w:ascii="Calibri" w:hAnsi="Calibri" w:cs="Calibri"/>
          <w:i/>
          <w:iCs/>
          <w:sz w:val="22"/>
          <w:szCs w:val="22"/>
        </w:rPr>
      </w:pPr>
      <w:r w:rsidRPr="00743EBD">
        <w:rPr>
          <w:rFonts w:ascii="Calibri" w:hAnsi="Calibri" w:cs="Calibri"/>
          <w:i/>
          <w:iCs/>
          <w:sz w:val="22"/>
          <w:szCs w:val="22"/>
        </w:rPr>
        <w:t xml:space="preserve">O mantemento dos procesos ecolóxicos esenciais e dos sistemas vitais básicos, apoiando os servizos dos ecosistemas para o benestar humano. </w:t>
      </w:r>
    </w:p>
    <w:p w14:paraId="4088860B" w14:textId="77777777" w:rsidR="009B3A3A" w:rsidRPr="00743EBD" w:rsidRDefault="009B3A3A" w:rsidP="00E072D3">
      <w:pPr>
        <w:pStyle w:val="Default"/>
        <w:ind w:left="993" w:right="720"/>
        <w:jc w:val="both"/>
        <w:rPr>
          <w:rFonts w:ascii="Calibri" w:hAnsi="Calibri" w:cs="Calibri"/>
          <w:sz w:val="22"/>
          <w:szCs w:val="22"/>
        </w:rPr>
      </w:pPr>
    </w:p>
    <w:p w14:paraId="508B2A76" w14:textId="77777777" w:rsidR="009B3A3A" w:rsidRPr="00743EBD" w:rsidRDefault="009B3A3A" w:rsidP="00246A53">
      <w:pPr>
        <w:pStyle w:val="Default"/>
        <w:numPr>
          <w:ilvl w:val="0"/>
          <w:numId w:val="1"/>
        </w:numPr>
        <w:ind w:left="993" w:right="720" w:firstLine="0"/>
        <w:jc w:val="both"/>
        <w:rPr>
          <w:rFonts w:ascii="Calibri" w:hAnsi="Calibri" w:cs="Calibri"/>
          <w:i/>
          <w:iCs/>
          <w:sz w:val="22"/>
          <w:szCs w:val="22"/>
        </w:rPr>
      </w:pPr>
      <w:r w:rsidRPr="00743EBD">
        <w:rPr>
          <w:rFonts w:ascii="Calibri" w:hAnsi="Calibri" w:cs="Calibri"/>
          <w:i/>
          <w:iCs/>
          <w:sz w:val="22"/>
          <w:szCs w:val="22"/>
        </w:rPr>
        <w:t xml:space="preserve">A conservación e restauración da biodiversidade e da xeodiversidade mediante a conservación dos hábitats naturais e da fauna e flora silvestres. As medidas que se adopten para esa fin terán en conta as esixencias económicas, sociais e culturais, así como, as particularidades rexionais e locais. </w:t>
      </w:r>
    </w:p>
    <w:p w14:paraId="05E8E23D" w14:textId="77777777" w:rsidR="009B3A3A" w:rsidRPr="00743EBD" w:rsidRDefault="009B3A3A" w:rsidP="00E072D3">
      <w:pPr>
        <w:pStyle w:val="Default"/>
        <w:ind w:left="993" w:right="720"/>
        <w:jc w:val="both"/>
        <w:rPr>
          <w:rFonts w:ascii="Calibri" w:hAnsi="Calibri" w:cs="Calibri"/>
          <w:sz w:val="22"/>
          <w:szCs w:val="22"/>
        </w:rPr>
      </w:pPr>
    </w:p>
    <w:p w14:paraId="523BEAD1" w14:textId="77777777" w:rsidR="009B3A3A" w:rsidRPr="00743EBD" w:rsidRDefault="009B3A3A" w:rsidP="00246A53">
      <w:pPr>
        <w:pStyle w:val="Default"/>
        <w:numPr>
          <w:ilvl w:val="0"/>
          <w:numId w:val="1"/>
        </w:numPr>
        <w:ind w:left="993" w:right="720" w:firstLine="0"/>
        <w:jc w:val="both"/>
        <w:rPr>
          <w:rFonts w:ascii="Calibri" w:hAnsi="Calibri" w:cs="Calibri"/>
          <w:i/>
          <w:iCs/>
          <w:sz w:val="22"/>
          <w:szCs w:val="22"/>
        </w:rPr>
      </w:pPr>
      <w:r w:rsidRPr="00743EBD">
        <w:rPr>
          <w:rFonts w:ascii="Calibri" w:hAnsi="Calibri" w:cs="Calibri"/>
          <w:i/>
          <w:iCs/>
          <w:sz w:val="22"/>
          <w:szCs w:val="22"/>
        </w:rPr>
        <w:t xml:space="preserve">A utilización ordenada dos recursos para garantir o aproveitamento sostible do patrimonio natural, en particular, das especies e dos ecosistemas, a súa conservación, restauración e mellora e evitar a perda neta de biodiversidade. </w:t>
      </w:r>
    </w:p>
    <w:p w14:paraId="5FAC37A7" w14:textId="77777777" w:rsidR="009B3A3A" w:rsidRPr="00743EBD" w:rsidRDefault="009B3A3A" w:rsidP="00E072D3">
      <w:pPr>
        <w:pStyle w:val="Default"/>
        <w:ind w:left="993" w:right="720"/>
        <w:jc w:val="both"/>
        <w:rPr>
          <w:rFonts w:ascii="Calibri" w:hAnsi="Calibri" w:cs="Calibri"/>
          <w:sz w:val="22"/>
          <w:szCs w:val="22"/>
        </w:rPr>
      </w:pPr>
    </w:p>
    <w:p w14:paraId="6CDFF8CD" w14:textId="77777777" w:rsidR="009B3A3A" w:rsidRPr="00743EBD" w:rsidRDefault="009B3A3A" w:rsidP="00246A53">
      <w:pPr>
        <w:pStyle w:val="Default"/>
        <w:numPr>
          <w:ilvl w:val="0"/>
          <w:numId w:val="1"/>
        </w:numPr>
        <w:ind w:left="993" w:right="720" w:firstLine="0"/>
        <w:jc w:val="both"/>
        <w:rPr>
          <w:rFonts w:ascii="Calibri" w:hAnsi="Calibri" w:cs="Calibri"/>
          <w:i/>
          <w:iCs/>
          <w:sz w:val="22"/>
          <w:szCs w:val="22"/>
        </w:rPr>
      </w:pPr>
      <w:r w:rsidRPr="00743EBD">
        <w:rPr>
          <w:rFonts w:ascii="Calibri" w:hAnsi="Calibri" w:cs="Calibri"/>
          <w:i/>
          <w:iCs/>
          <w:sz w:val="22"/>
          <w:szCs w:val="22"/>
        </w:rPr>
        <w:t xml:space="preserve">A conservación e preservación da variedade, singularidade e beleza dos ecosistemas naturais, da diversidade xeolóxica e da paisaxe (…). </w:t>
      </w:r>
    </w:p>
    <w:p w14:paraId="6758C954" w14:textId="77777777" w:rsidR="009B3A3A" w:rsidRPr="00743EBD" w:rsidRDefault="009B3A3A" w:rsidP="00E072D3">
      <w:pPr>
        <w:pStyle w:val="Prrafodelista"/>
        <w:ind w:left="993" w:right="720"/>
        <w:jc w:val="both"/>
        <w:rPr>
          <w:i/>
          <w:iCs/>
          <w:color w:val="000000"/>
        </w:rPr>
      </w:pPr>
    </w:p>
    <w:p w14:paraId="54309B44" w14:textId="77777777" w:rsidR="009B3A3A" w:rsidRPr="00743EBD" w:rsidRDefault="009B3A3A" w:rsidP="00246A53">
      <w:pPr>
        <w:pStyle w:val="Default"/>
        <w:numPr>
          <w:ilvl w:val="0"/>
          <w:numId w:val="1"/>
        </w:numPr>
        <w:ind w:left="993" w:right="720" w:firstLine="0"/>
        <w:jc w:val="both"/>
        <w:rPr>
          <w:rFonts w:ascii="Calibri" w:hAnsi="Calibri" w:cs="Calibri"/>
          <w:i/>
          <w:iCs/>
          <w:sz w:val="22"/>
          <w:szCs w:val="22"/>
        </w:rPr>
      </w:pPr>
      <w:r w:rsidRPr="00743EBD">
        <w:rPr>
          <w:rFonts w:ascii="Calibri" w:hAnsi="Calibri" w:cs="Calibri"/>
          <w:i/>
          <w:sz w:val="22"/>
          <w:szCs w:val="22"/>
        </w:rPr>
        <w:t>La integración de los requisitos de la conservación, uso sostenible, mejora y restauración del patrimonio natural y la biodiversidad en las políticas sectoriales y, en particular, en la toma de decisiones en el ámbito político, económico y social, así como la participación justa y equitativa en el reparto de beneficios que se deriven de la utilización de los recursos genéticos.</w:t>
      </w:r>
    </w:p>
    <w:p w14:paraId="67C1744A" w14:textId="77777777" w:rsidR="009B3A3A" w:rsidRPr="00743EBD" w:rsidRDefault="009B3A3A" w:rsidP="00E072D3">
      <w:pPr>
        <w:pStyle w:val="Prrafodelista"/>
        <w:ind w:left="993" w:right="720"/>
        <w:jc w:val="both"/>
        <w:rPr>
          <w:b/>
          <w:bCs/>
          <w:i/>
          <w:iCs/>
          <w:color w:val="000000"/>
        </w:rPr>
      </w:pPr>
    </w:p>
    <w:p w14:paraId="03972D01" w14:textId="77777777" w:rsidR="009B3A3A" w:rsidRPr="00743EBD" w:rsidRDefault="009B3A3A" w:rsidP="00246A53">
      <w:pPr>
        <w:pStyle w:val="Default"/>
        <w:numPr>
          <w:ilvl w:val="0"/>
          <w:numId w:val="1"/>
        </w:numPr>
        <w:ind w:left="993" w:right="720" w:firstLine="0"/>
        <w:jc w:val="both"/>
        <w:rPr>
          <w:rFonts w:ascii="Calibri" w:hAnsi="Calibri" w:cs="Calibri"/>
          <w:i/>
          <w:iCs/>
          <w:sz w:val="22"/>
          <w:szCs w:val="22"/>
        </w:rPr>
      </w:pPr>
      <w:r w:rsidRPr="00743EBD">
        <w:rPr>
          <w:rFonts w:ascii="Calibri" w:hAnsi="Calibri" w:cs="Calibri"/>
          <w:b/>
          <w:bCs/>
          <w:i/>
          <w:iCs/>
          <w:sz w:val="22"/>
          <w:szCs w:val="22"/>
        </w:rPr>
        <w:t xml:space="preserve">A prevalencia da protección ambiental sobre a ordenación territorial e urbanística e os supostos básicos dá devandita prevalencia”. </w:t>
      </w:r>
    </w:p>
    <w:p w14:paraId="59A624FA" w14:textId="77777777" w:rsidR="009B3A3A" w:rsidRPr="00743EBD" w:rsidRDefault="009B3A3A" w:rsidP="00A75472">
      <w:pPr>
        <w:pStyle w:val="Prrafodelista"/>
        <w:ind w:left="993" w:right="720"/>
        <w:rPr>
          <w:i/>
          <w:iCs/>
          <w:color w:val="000000"/>
        </w:rPr>
      </w:pPr>
    </w:p>
    <w:p w14:paraId="55E56BB4" w14:textId="77777777" w:rsidR="009B3A3A" w:rsidRPr="00743EBD" w:rsidRDefault="009B3A3A" w:rsidP="00A75472">
      <w:pPr>
        <w:pStyle w:val="Default"/>
        <w:ind w:left="993" w:right="720"/>
        <w:jc w:val="both"/>
        <w:rPr>
          <w:rFonts w:ascii="Calibri" w:hAnsi="Calibri" w:cs="Calibri"/>
          <w:i/>
          <w:iCs/>
          <w:sz w:val="22"/>
          <w:szCs w:val="22"/>
        </w:rPr>
      </w:pPr>
      <w:r w:rsidRPr="00743EBD">
        <w:rPr>
          <w:rFonts w:ascii="Calibri" w:hAnsi="Calibri" w:cs="Calibri"/>
          <w:i/>
          <w:iCs/>
          <w:sz w:val="22"/>
          <w:szCs w:val="22"/>
        </w:rPr>
        <w:t>...</w:t>
      </w:r>
    </w:p>
    <w:p w14:paraId="5D61ACE9" w14:textId="166BBBEB" w:rsidR="009B3A3A" w:rsidRDefault="009B3A3A" w:rsidP="008B4C1D">
      <w:pPr>
        <w:spacing w:before="120"/>
        <w:jc w:val="both"/>
        <w:rPr>
          <w:color w:val="000000"/>
          <w:sz w:val="24"/>
          <w:szCs w:val="24"/>
        </w:rPr>
      </w:pPr>
      <w:r w:rsidRPr="00501ECF">
        <w:rPr>
          <w:color w:val="000000"/>
          <w:sz w:val="24"/>
          <w:szCs w:val="24"/>
        </w:rPr>
        <w:t xml:space="preserve">Xunto á Directiva 92/43/CEE do Consello, de 21 de maio de 1992, relativa á conservación dos hábitats naturais e da fauna e flora silvestres, que impide que os hábitats naturais de interese comunitario podan ser nin eliminados nin degradados, deben ser conservados e manterse nun estado de conservación favorable. (Artigo 2), o Parque Eólico </w:t>
      </w:r>
      <w:r w:rsidR="003D6BD9">
        <w:rPr>
          <w:color w:val="000000"/>
          <w:sz w:val="24"/>
          <w:szCs w:val="24"/>
        </w:rPr>
        <w:t>To</w:t>
      </w:r>
      <w:r w:rsidR="00674279">
        <w:rPr>
          <w:color w:val="000000"/>
          <w:sz w:val="24"/>
          <w:szCs w:val="24"/>
        </w:rPr>
        <w:t>r</w:t>
      </w:r>
      <w:r w:rsidR="003D6BD9">
        <w:rPr>
          <w:color w:val="000000"/>
          <w:sz w:val="24"/>
          <w:szCs w:val="24"/>
        </w:rPr>
        <w:t>roña</w:t>
      </w:r>
      <w:r w:rsidR="00674279">
        <w:rPr>
          <w:color w:val="000000"/>
          <w:sz w:val="24"/>
          <w:szCs w:val="24"/>
        </w:rPr>
        <w:t xml:space="preserve"> I</w:t>
      </w:r>
      <w:r w:rsidRPr="00501ECF">
        <w:rPr>
          <w:color w:val="000000"/>
          <w:sz w:val="24"/>
          <w:szCs w:val="24"/>
        </w:rPr>
        <w:t xml:space="preserve"> non pode desenvolverse no chan escollido.</w:t>
      </w:r>
    </w:p>
    <w:p w14:paraId="626547D3" w14:textId="77777777" w:rsidR="00DB6FF4" w:rsidRPr="00BB3771" w:rsidRDefault="00DB6FF4" w:rsidP="00A75472">
      <w:pPr>
        <w:pStyle w:val="Textoindependiente"/>
        <w:kinsoku w:val="0"/>
        <w:overflowPunct w:val="0"/>
        <w:spacing w:before="120" w:line="278" w:lineRule="auto"/>
        <w:ind w:left="709" w:right="238"/>
        <w:jc w:val="both"/>
        <w:rPr>
          <w:rFonts w:cs="Calibri"/>
          <w:sz w:val="24"/>
          <w:szCs w:val="24"/>
          <w:lang w:val="es-ES"/>
        </w:rPr>
      </w:pPr>
    </w:p>
    <w:p w14:paraId="6E17B608" w14:textId="44280504" w:rsidR="009B3A3A" w:rsidRPr="009B1BBF" w:rsidRDefault="009B3A3A" w:rsidP="00246A53">
      <w:pPr>
        <w:pStyle w:val="Default"/>
        <w:numPr>
          <w:ilvl w:val="0"/>
          <w:numId w:val="11"/>
        </w:numPr>
        <w:shd w:val="clear" w:color="auto" w:fill="C6D9F1"/>
        <w:spacing w:before="120"/>
        <w:ind w:left="1843" w:hanging="1843"/>
        <w:jc w:val="both"/>
        <w:outlineLvl w:val="0"/>
        <w:rPr>
          <w:rFonts w:ascii="Calibri" w:hAnsi="Calibri" w:cs="Calibri"/>
          <w:b/>
          <w:bCs/>
        </w:rPr>
      </w:pPr>
      <w:bookmarkStart w:id="34" w:name="_Toc87813562"/>
      <w:bookmarkStart w:id="35" w:name="_Toc87980524"/>
      <w:bookmarkStart w:id="36" w:name="_Toc132510946"/>
      <w:r w:rsidRPr="009B1BBF">
        <w:rPr>
          <w:rFonts w:ascii="Calibri" w:hAnsi="Calibri" w:cs="Calibri"/>
          <w:b/>
          <w:bCs/>
        </w:rPr>
        <w:t xml:space="preserve">O Parque Eólico </w:t>
      </w:r>
      <w:r w:rsidR="008415BE">
        <w:rPr>
          <w:rFonts w:ascii="Calibri" w:hAnsi="Calibri" w:cs="Calibri"/>
          <w:b/>
          <w:bCs/>
        </w:rPr>
        <w:t>Tor</w:t>
      </w:r>
      <w:r w:rsidR="00674279">
        <w:rPr>
          <w:rFonts w:ascii="Calibri" w:hAnsi="Calibri" w:cs="Calibri"/>
          <w:b/>
          <w:bCs/>
        </w:rPr>
        <w:t>r</w:t>
      </w:r>
      <w:r w:rsidR="008415BE">
        <w:rPr>
          <w:rFonts w:ascii="Calibri" w:hAnsi="Calibri" w:cs="Calibri"/>
          <w:b/>
          <w:bCs/>
        </w:rPr>
        <w:t>oña</w:t>
      </w:r>
      <w:r w:rsidR="00674279">
        <w:rPr>
          <w:rFonts w:ascii="Calibri" w:hAnsi="Calibri" w:cs="Calibri"/>
          <w:b/>
          <w:bCs/>
        </w:rPr>
        <w:t xml:space="preserve"> I</w:t>
      </w:r>
      <w:r w:rsidRPr="009B1BBF">
        <w:rPr>
          <w:rFonts w:ascii="Calibri" w:hAnsi="Calibri" w:cs="Calibri"/>
          <w:b/>
          <w:bCs/>
        </w:rPr>
        <w:t xml:space="preserve"> ocupa a ampliación da Rede Natura 2000 proposta no ano 2011 (ES1140018)</w:t>
      </w:r>
      <w:bookmarkEnd w:id="34"/>
      <w:bookmarkEnd w:id="35"/>
      <w:bookmarkEnd w:id="36"/>
    </w:p>
    <w:p w14:paraId="1EAF3A08" w14:textId="77777777" w:rsidR="009B3A3A" w:rsidRPr="00501ECF" w:rsidRDefault="009B3A3A" w:rsidP="008B4C1D">
      <w:pPr>
        <w:autoSpaceDE w:val="0"/>
        <w:autoSpaceDN w:val="0"/>
        <w:spacing w:before="120" w:after="0" w:line="240" w:lineRule="auto"/>
        <w:jc w:val="both"/>
        <w:rPr>
          <w:rFonts w:cs="Calibri"/>
          <w:sz w:val="24"/>
          <w:szCs w:val="24"/>
        </w:rPr>
      </w:pPr>
      <w:r w:rsidRPr="00501ECF">
        <w:rPr>
          <w:rFonts w:cs="Calibri"/>
          <w:sz w:val="24"/>
          <w:szCs w:val="24"/>
        </w:rPr>
        <w:t xml:space="preserve">A totalidade dos espazos RN2000 de Galiza, ocupan unha superficie de 389.565,9 Ha (354.575,6 terrestres y 34.990,3 mariñas), o que supon un </w:t>
      </w:r>
      <w:r w:rsidRPr="00501ECF">
        <w:rPr>
          <w:rFonts w:cs="Calibri"/>
          <w:b/>
          <w:sz w:val="24"/>
          <w:szCs w:val="24"/>
        </w:rPr>
        <w:t>11,97%</w:t>
      </w:r>
      <w:r w:rsidRPr="00501ECF">
        <w:rPr>
          <w:rFonts w:cs="Calibri"/>
          <w:sz w:val="24"/>
          <w:szCs w:val="24"/>
        </w:rPr>
        <w:t xml:space="preserve"> da superficie da comunidade Galega.</w:t>
      </w:r>
    </w:p>
    <w:p w14:paraId="435218C0" w14:textId="77777777" w:rsidR="009B3A3A" w:rsidRPr="00501ECF" w:rsidRDefault="009B3A3A" w:rsidP="008B4C1D">
      <w:pPr>
        <w:autoSpaceDE w:val="0"/>
        <w:autoSpaceDN w:val="0"/>
        <w:spacing w:before="120" w:after="0" w:line="240" w:lineRule="auto"/>
        <w:jc w:val="both"/>
        <w:rPr>
          <w:rFonts w:cs="Calibri"/>
          <w:sz w:val="24"/>
          <w:szCs w:val="24"/>
        </w:rPr>
      </w:pPr>
      <w:r w:rsidRPr="00501ECF">
        <w:rPr>
          <w:rFonts w:cs="Calibri"/>
          <w:sz w:val="24"/>
          <w:szCs w:val="24"/>
        </w:rPr>
        <w:t xml:space="preserve">Lembremos que o estado Español no seu conxunto, protexe o </w:t>
      </w:r>
      <w:r w:rsidRPr="00501ECF">
        <w:rPr>
          <w:rFonts w:cs="Calibri"/>
          <w:b/>
          <w:sz w:val="24"/>
          <w:szCs w:val="24"/>
        </w:rPr>
        <w:t>27%</w:t>
      </w:r>
      <w:r w:rsidRPr="00501ECF">
        <w:rPr>
          <w:rFonts w:cs="Calibri"/>
          <w:sz w:val="24"/>
          <w:szCs w:val="24"/>
        </w:rPr>
        <w:t xml:space="preserve"> da superficie territorial e  se o desglosamos por Comunidades Autónomas, a Galega ocupa o penúltimo lugar, solo superada pola cidade de Melilla.</w:t>
      </w:r>
    </w:p>
    <w:p w14:paraId="3F8C6168" w14:textId="6054819C" w:rsidR="009B3A3A" w:rsidRPr="00501ECF" w:rsidRDefault="009B3A3A" w:rsidP="008B4C1D">
      <w:pPr>
        <w:autoSpaceDE w:val="0"/>
        <w:autoSpaceDN w:val="0"/>
        <w:spacing w:before="120" w:after="0" w:line="240" w:lineRule="auto"/>
        <w:jc w:val="both"/>
        <w:rPr>
          <w:rFonts w:cs="Calibri"/>
          <w:bCs/>
          <w:color w:val="000000"/>
          <w:sz w:val="24"/>
          <w:szCs w:val="24"/>
        </w:rPr>
      </w:pPr>
      <w:r w:rsidRPr="00501ECF">
        <w:rPr>
          <w:rFonts w:cs="Calibri"/>
          <w:sz w:val="24"/>
          <w:szCs w:val="24"/>
        </w:rPr>
        <w:t>Polo tanto a ampliación da RN2000 galega é urxente</w:t>
      </w:r>
      <w:r w:rsidR="008415BE">
        <w:rPr>
          <w:rFonts w:cs="Calibri"/>
          <w:sz w:val="24"/>
          <w:szCs w:val="24"/>
        </w:rPr>
        <w:t>.</w:t>
      </w:r>
      <w:r w:rsidRPr="00501ECF">
        <w:rPr>
          <w:rFonts w:cs="Calibri"/>
          <w:sz w:val="24"/>
          <w:szCs w:val="24"/>
        </w:rPr>
        <w:t xml:space="preserve"> </w:t>
      </w:r>
      <w:r w:rsidRPr="00501ECF">
        <w:rPr>
          <w:rFonts w:cs="Calibri"/>
          <w:bCs/>
          <w:color w:val="000000"/>
          <w:sz w:val="24"/>
          <w:szCs w:val="24"/>
        </w:rPr>
        <w:t xml:space="preserve">En este sentido a propia Comisión Europea ten apercibido tanto ó estado Español como á Comunidade Autónoma Galega para executar a ampliación da RN2000. Foi denunciado en preguntas ao Parlamento Europeo á Comisión (E-9818/2010, E-364/11), e nas  respostas o executivo recoñece que </w:t>
      </w:r>
      <w:r w:rsidRPr="00501ECF">
        <w:rPr>
          <w:rFonts w:cs="Calibri"/>
          <w:b/>
          <w:bCs/>
          <w:color w:val="000000"/>
          <w:sz w:val="24"/>
          <w:szCs w:val="24"/>
          <w:u w:val="single"/>
        </w:rPr>
        <w:t>Galicia ten unha das tasas máis baixas de ocupación en RN2000 de toda la Unión Europea</w:t>
      </w:r>
      <w:r w:rsidRPr="00501ECF">
        <w:rPr>
          <w:rFonts w:cs="Calibri"/>
          <w:bCs/>
          <w:color w:val="000000"/>
          <w:sz w:val="24"/>
          <w:szCs w:val="24"/>
        </w:rPr>
        <w:t xml:space="preserve">. </w:t>
      </w:r>
    </w:p>
    <w:p w14:paraId="07819C97" w14:textId="77777777" w:rsidR="009B3A3A" w:rsidRPr="00501ECF" w:rsidRDefault="009B3A3A" w:rsidP="008B4C1D">
      <w:pPr>
        <w:autoSpaceDE w:val="0"/>
        <w:autoSpaceDN w:val="0"/>
        <w:spacing w:before="120" w:after="0" w:line="240" w:lineRule="auto"/>
        <w:jc w:val="both"/>
        <w:rPr>
          <w:rFonts w:cs="Calibri"/>
          <w:bCs/>
          <w:color w:val="000000"/>
          <w:sz w:val="24"/>
          <w:szCs w:val="24"/>
        </w:rPr>
      </w:pPr>
      <w:r w:rsidRPr="00501ECF">
        <w:rPr>
          <w:rFonts w:cs="Calibri"/>
          <w:bCs/>
          <w:color w:val="000000"/>
          <w:sz w:val="24"/>
          <w:szCs w:val="24"/>
        </w:rPr>
        <w:t>O Parlamento Autonómico Galego aprobou en xuño de 2017 un mandato para a ampliación da RN2000 aunque ésta ampliación nunca se produciu.</w:t>
      </w:r>
    </w:p>
    <w:p w14:paraId="1260FD1D" w14:textId="77777777" w:rsidR="009B3A3A" w:rsidRPr="00501ECF" w:rsidRDefault="009B3A3A" w:rsidP="008B4C1D">
      <w:pPr>
        <w:spacing w:before="120" w:after="0" w:line="240" w:lineRule="auto"/>
        <w:jc w:val="both"/>
        <w:rPr>
          <w:sz w:val="24"/>
          <w:szCs w:val="24"/>
        </w:rPr>
      </w:pPr>
      <w:r w:rsidRPr="00501ECF">
        <w:rPr>
          <w:rFonts w:cs="Calibri"/>
          <w:sz w:val="24"/>
          <w:szCs w:val="24"/>
        </w:rPr>
        <w:t>Recentemente (2 de xullo de 2020) a Comisión Europea instó a España (</w:t>
      </w:r>
      <w:hyperlink r:id="rId34" w:history="1">
        <w:r w:rsidRPr="00501ECF">
          <w:rPr>
            <w:rStyle w:val="Hipervnculo"/>
            <w:rFonts w:cs="Calibri"/>
            <w:sz w:val="24"/>
            <w:szCs w:val="24"/>
          </w:rPr>
          <w:t>carta de emplazamiento, nº de infracción 20152003</w:t>
        </w:r>
      </w:hyperlink>
      <w:r w:rsidRPr="00501ECF">
        <w:rPr>
          <w:rStyle w:val="Refdenotaalpie"/>
          <w:rFonts w:cs="Calibri"/>
          <w:color w:val="000080"/>
          <w:sz w:val="24"/>
          <w:szCs w:val="24"/>
          <w:u w:val="single"/>
        </w:rPr>
        <w:footnoteReference w:id="21"/>
      </w:r>
      <w:r w:rsidRPr="00501ECF">
        <w:rPr>
          <w:rFonts w:cs="Calibri"/>
          <w:sz w:val="24"/>
          <w:szCs w:val="24"/>
        </w:rPr>
        <w:t xml:space="preserve">) a completar a designación como zona especial de conservación (ZEC) de todos os lugares de importancia comunitaria (LIC) das rexións alpinas, atlántica e mediterránea, e a </w:t>
      </w:r>
      <w:hyperlink r:id="rId35" w:history="1">
        <w:r w:rsidRPr="00501ECF">
          <w:rPr>
            <w:rStyle w:val="Hipervnculo"/>
            <w:rFonts w:cs="Calibri"/>
            <w:sz w:val="24"/>
            <w:szCs w:val="24"/>
          </w:rPr>
          <w:t>adoptar medidas e obxectivos detallados e específicos para cada lugar no caso de unha parte representativa destas zonas especiais de conservación</w:t>
        </w:r>
      </w:hyperlink>
      <w:r w:rsidRPr="00501ECF">
        <w:rPr>
          <w:rStyle w:val="Refdenotaalpie"/>
          <w:rFonts w:cs="Calibri"/>
          <w:color w:val="000080"/>
          <w:sz w:val="24"/>
          <w:szCs w:val="24"/>
          <w:u w:val="single"/>
        </w:rPr>
        <w:footnoteReference w:id="22"/>
      </w:r>
      <w:r w:rsidRPr="00501ECF">
        <w:rPr>
          <w:rFonts w:cs="Calibri"/>
          <w:sz w:val="24"/>
          <w:szCs w:val="24"/>
        </w:rPr>
        <w:t xml:space="preserve">. A pesar de que Galicia dispón dun Plan Director da Rede Natura 2000, a comisión europea pide un maior esforzo a Galicia xa que entende que </w:t>
      </w:r>
      <w:hyperlink r:id="rId36" w:history="1">
        <w:r w:rsidRPr="00501ECF">
          <w:rPr>
            <w:rStyle w:val="Hipervnculo"/>
            <w:rFonts w:cs="Calibri"/>
            <w:sz w:val="24"/>
            <w:szCs w:val="24"/>
          </w:rPr>
          <w:t>“as medidas de conservación recollidas no plan son demasiado vagas e indeterminadas e non ofrecen, polo tanto, suficiente claridade para a súa aplicación”</w:t>
        </w:r>
      </w:hyperlink>
      <w:r w:rsidRPr="00501ECF">
        <w:rPr>
          <w:rStyle w:val="Refdenotaalpie"/>
          <w:rFonts w:cs="Calibri"/>
          <w:color w:val="000080"/>
          <w:sz w:val="24"/>
          <w:szCs w:val="24"/>
          <w:u w:val="single"/>
        </w:rPr>
        <w:footnoteReference w:id="23"/>
      </w:r>
      <w:r w:rsidRPr="00501ECF">
        <w:rPr>
          <w:rFonts w:cs="Calibri"/>
          <w:sz w:val="24"/>
          <w:szCs w:val="24"/>
        </w:rPr>
        <w:t>.</w:t>
      </w:r>
    </w:p>
    <w:p w14:paraId="2DDAF41D" w14:textId="77777777" w:rsidR="009B3A3A" w:rsidRDefault="009B3A3A" w:rsidP="008B4C1D">
      <w:pPr>
        <w:pStyle w:val="Default"/>
        <w:spacing w:before="120"/>
        <w:jc w:val="both"/>
        <w:rPr>
          <w:rFonts w:ascii="Calibri" w:hAnsi="Calibri" w:cs="Calibri"/>
        </w:rPr>
      </w:pPr>
      <w:r w:rsidRPr="00501ECF">
        <w:rPr>
          <w:rFonts w:ascii="Calibri" w:hAnsi="Calibri" w:cs="Calibri"/>
          <w:iCs/>
        </w:rPr>
        <w:t xml:space="preserve">Na proposta de ampliación da RN2000 de Galicia, propoñíase o LIC </w:t>
      </w:r>
      <w:r w:rsidRPr="00501ECF">
        <w:rPr>
          <w:rFonts w:ascii="Calibri" w:hAnsi="Calibri" w:cs="Calibri"/>
        </w:rPr>
        <w:t xml:space="preserve">Serra da Groba e Monte da Valga, có código 418, asignándolle o código ES1140018, pola presencia  de hábitats e poboacións de especies de interese comunitario. A maioría dos aeroxeradores propostos ocupan este LIC. </w:t>
      </w:r>
    </w:p>
    <w:p w14:paraId="4E32F7B4" w14:textId="77777777" w:rsidR="00EF3733" w:rsidRDefault="00EF3733" w:rsidP="00A75472">
      <w:pPr>
        <w:pStyle w:val="Default"/>
        <w:spacing w:before="120"/>
        <w:ind w:left="709"/>
        <w:jc w:val="both"/>
        <w:rPr>
          <w:rFonts w:ascii="Calibri" w:hAnsi="Calibri" w:cs="Calibri"/>
        </w:rPr>
      </w:pPr>
    </w:p>
    <w:p w14:paraId="144912C3" w14:textId="49F509E2" w:rsidR="008B4C1D" w:rsidRPr="009B1BBF" w:rsidRDefault="008B4C1D" w:rsidP="00246A53">
      <w:pPr>
        <w:pStyle w:val="Default"/>
        <w:numPr>
          <w:ilvl w:val="0"/>
          <w:numId w:val="11"/>
        </w:numPr>
        <w:shd w:val="clear" w:color="auto" w:fill="C6D9F1"/>
        <w:spacing w:before="120"/>
        <w:ind w:left="1843" w:hanging="1843"/>
        <w:jc w:val="both"/>
        <w:outlineLvl w:val="0"/>
        <w:rPr>
          <w:rFonts w:ascii="Calibri" w:hAnsi="Calibri" w:cs="Calibri"/>
          <w:b/>
          <w:bCs/>
        </w:rPr>
      </w:pPr>
      <w:bookmarkStart w:id="37" w:name="_Toc132510947"/>
      <w:bookmarkStart w:id="38" w:name="_Toc87813570"/>
      <w:r>
        <w:rPr>
          <w:rFonts w:ascii="Calibri" w:hAnsi="Calibri" w:cs="Calibri"/>
          <w:b/>
          <w:bCs/>
        </w:rPr>
        <w:t xml:space="preserve">Non consta estudio do grao de aceptación do proxecto polos concellos afectados </w:t>
      </w:r>
      <w:r w:rsidR="00C97FE7">
        <w:rPr>
          <w:rFonts w:ascii="Calibri" w:hAnsi="Calibri" w:cs="Calibri"/>
          <w:b/>
          <w:bCs/>
        </w:rPr>
        <w:t>nin</w:t>
      </w:r>
      <w:r>
        <w:rPr>
          <w:rFonts w:ascii="Calibri" w:hAnsi="Calibri" w:cs="Calibri"/>
          <w:b/>
          <w:bCs/>
        </w:rPr>
        <w:t xml:space="preserve"> pola poboación.</w:t>
      </w:r>
      <w:bookmarkEnd w:id="37"/>
    </w:p>
    <w:bookmarkEnd w:id="38"/>
    <w:p w14:paraId="404C8D5D" w14:textId="6A6DE927" w:rsidR="008B4C1D" w:rsidRPr="008B4C1D" w:rsidRDefault="008B4C1D" w:rsidP="002A3D8E">
      <w:pPr>
        <w:pStyle w:val="Prrafodelista"/>
        <w:autoSpaceDE w:val="0"/>
        <w:autoSpaceDN w:val="0"/>
        <w:spacing w:before="120"/>
        <w:ind w:left="0"/>
        <w:jc w:val="both"/>
        <w:rPr>
          <w:color w:val="000000"/>
          <w:sz w:val="24"/>
          <w:szCs w:val="24"/>
        </w:rPr>
      </w:pPr>
      <w:r w:rsidRPr="008B4C1D">
        <w:rPr>
          <w:color w:val="000000"/>
          <w:sz w:val="24"/>
          <w:szCs w:val="24"/>
        </w:rPr>
        <w:lastRenderedPageBreak/>
        <w:t>Non se estudia a valoración social do impacto do proxecto sobre a poboación, nin o grao de aceptación social do mesmo.</w:t>
      </w:r>
    </w:p>
    <w:p w14:paraId="22F4AE43" w14:textId="1596682B" w:rsidR="008B4C1D" w:rsidRPr="008B4C1D" w:rsidRDefault="008B4C1D" w:rsidP="002A3D8E">
      <w:pPr>
        <w:pStyle w:val="Prrafodelista"/>
        <w:autoSpaceDE w:val="0"/>
        <w:autoSpaceDN w:val="0"/>
        <w:spacing w:before="120"/>
        <w:ind w:left="0"/>
        <w:jc w:val="both"/>
        <w:rPr>
          <w:color w:val="000000"/>
          <w:sz w:val="24"/>
          <w:szCs w:val="24"/>
        </w:rPr>
      </w:pPr>
      <w:r w:rsidRPr="008B4C1D">
        <w:rPr>
          <w:color w:val="000000"/>
          <w:sz w:val="24"/>
          <w:szCs w:val="24"/>
        </w:rPr>
        <w:t>Non é posible a participación pública na Evaluación de Impacto Ambiental, sen coñocer o grao de aceptación ou repulsa social da actividade, das súas implicacións económicas e de seus efectos ambientais. Este análisis non consta na documentación a exposición pública do proxecto.</w:t>
      </w:r>
    </w:p>
    <w:p w14:paraId="3D934DA1" w14:textId="4626FBC8" w:rsidR="008B4C1D" w:rsidRPr="008B4C1D" w:rsidRDefault="008B4C1D" w:rsidP="002A3D8E">
      <w:pPr>
        <w:pStyle w:val="Prrafodelista"/>
        <w:autoSpaceDE w:val="0"/>
        <w:autoSpaceDN w:val="0"/>
        <w:spacing w:before="120"/>
        <w:ind w:left="0"/>
        <w:jc w:val="both"/>
        <w:rPr>
          <w:color w:val="000000"/>
          <w:sz w:val="24"/>
          <w:szCs w:val="24"/>
        </w:rPr>
      </w:pPr>
      <w:r w:rsidRPr="008B4C1D">
        <w:rPr>
          <w:color w:val="000000"/>
          <w:sz w:val="24"/>
          <w:szCs w:val="24"/>
        </w:rPr>
        <w:t>E lexítimo o rexeitamento da poboación á ubicación de parques eólicos en lugares de gran valor ambiental, paisaxístico, patrimonial, gandeiro e ocupando chan proposto para a necesaria ampliación da RN2000, como ocurre no chan ocupado polo parque eólico.</w:t>
      </w:r>
    </w:p>
    <w:p w14:paraId="7FB77419" w14:textId="60961068" w:rsidR="008B4C1D" w:rsidRPr="008B4C1D" w:rsidRDefault="008B4C1D" w:rsidP="002A3D8E">
      <w:pPr>
        <w:pStyle w:val="Prrafodelista"/>
        <w:autoSpaceDE w:val="0"/>
        <w:autoSpaceDN w:val="0"/>
        <w:spacing w:before="120"/>
        <w:ind w:left="0"/>
        <w:jc w:val="both"/>
        <w:rPr>
          <w:color w:val="000000"/>
          <w:sz w:val="24"/>
          <w:szCs w:val="24"/>
        </w:rPr>
      </w:pPr>
      <w:r w:rsidRPr="008B4C1D">
        <w:rPr>
          <w:color w:val="000000"/>
          <w:sz w:val="24"/>
          <w:szCs w:val="24"/>
        </w:rPr>
        <w:t>Non estamos en contra da enerxía eólica, pero a implantación da mesma ten que buscar un compromiso entre a necesidade de desenvolver enerxías limpas e o dereito da poboación a ter un marco de vida saudable que manteña a súa identidade e integridade territorial.</w:t>
      </w:r>
    </w:p>
    <w:p w14:paraId="309CB49D" w14:textId="3FB16307" w:rsidR="008B4C1D" w:rsidRDefault="008B4C1D" w:rsidP="002610B6">
      <w:pPr>
        <w:pStyle w:val="Prrafodelista"/>
        <w:autoSpaceDE w:val="0"/>
        <w:autoSpaceDN w:val="0"/>
        <w:spacing w:before="120"/>
        <w:ind w:left="0"/>
        <w:jc w:val="both"/>
        <w:rPr>
          <w:color w:val="000000"/>
        </w:rPr>
      </w:pPr>
      <w:r w:rsidRPr="008B4C1D">
        <w:rPr>
          <w:color w:val="000000"/>
          <w:sz w:val="24"/>
          <w:szCs w:val="24"/>
        </w:rPr>
        <w:t>Non facer este estudio de aceptación, supón un menosprecio á cidadanía e incumple o convenio de Aarhus que no artigo 1 di:</w:t>
      </w:r>
    </w:p>
    <w:p w14:paraId="06C9AA21" w14:textId="77777777" w:rsidR="008B4C1D" w:rsidRDefault="008B4C1D" w:rsidP="002A3D8E">
      <w:pPr>
        <w:spacing w:before="120" w:line="240" w:lineRule="auto"/>
        <w:ind w:left="1416"/>
        <w:jc w:val="both"/>
        <w:rPr>
          <w:rStyle w:val="highlight"/>
          <w:i/>
          <w:iCs/>
          <w:sz w:val="20"/>
          <w:szCs w:val="20"/>
        </w:rPr>
      </w:pPr>
      <w:r>
        <w:rPr>
          <w:rStyle w:val="highlight"/>
          <w:i/>
          <w:iCs/>
          <w:color w:val="000000"/>
          <w:sz w:val="20"/>
          <w:szCs w:val="20"/>
        </w:rPr>
        <w:t>“A fin de contribuir a proteger el derecho de cada persona, de las generaciones presentes y futuras, a vivir en un medio ambiente  que permita garantizar su salud y bienestar, cada Parte garantizará los derechos de acceso a la información sobre el medio ambiente, la participación del público en la toma de decisiones y el acceso a la justicia en materia medioambiental”</w:t>
      </w:r>
    </w:p>
    <w:p w14:paraId="01906538" w14:textId="77777777" w:rsidR="008B4C1D" w:rsidRDefault="008B4C1D" w:rsidP="002A3D8E">
      <w:pPr>
        <w:pStyle w:val="Prrafodelista"/>
        <w:autoSpaceDE w:val="0"/>
        <w:autoSpaceDN w:val="0"/>
        <w:spacing w:before="120"/>
        <w:jc w:val="both"/>
      </w:pPr>
    </w:p>
    <w:p w14:paraId="45213B97" w14:textId="1330D1D9" w:rsidR="008B4C1D" w:rsidRDefault="008B4C1D" w:rsidP="002610B6">
      <w:pPr>
        <w:pStyle w:val="Prrafodelista"/>
        <w:autoSpaceDE w:val="0"/>
        <w:autoSpaceDN w:val="0"/>
        <w:spacing w:before="120"/>
        <w:ind w:left="0"/>
        <w:jc w:val="both"/>
        <w:rPr>
          <w:color w:val="000000"/>
        </w:rPr>
      </w:pPr>
      <w:r w:rsidRPr="008B4C1D">
        <w:rPr>
          <w:color w:val="000000"/>
          <w:sz w:val="24"/>
          <w:szCs w:val="24"/>
        </w:rPr>
        <w:t>Segundo o Comité Económico e Social Europeo, no seu dictame de 28 de xaneiro de 2004:</w:t>
      </w:r>
    </w:p>
    <w:p w14:paraId="0E19A6F8" w14:textId="52EF1E30" w:rsidR="008B4C1D" w:rsidRDefault="008B4C1D" w:rsidP="002610B6">
      <w:pPr>
        <w:pStyle w:val="NormalWeb"/>
        <w:spacing w:before="120" w:beforeAutospacing="0" w:after="0" w:afterAutospacing="0"/>
        <w:ind w:left="1416"/>
        <w:jc w:val="both"/>
        <w:rPr>
          <w:rFonts w:ascii="Arial" w:hAnsi="Arial" w:cs="Arial"/>
          <w:b/>
          <w:bCs/>
          <w:sz w:val="22"/>
          <w:szCs w:val="22"/>
          <w:lang w:eastAsia="en-US"/>
        </w:rPr>
      </w:pPr>
      <w:r>
        <w:rPr>
          <w:rFonts w:ascii="Calibri" w:hAnsi="Calibri" w:cs="Calibri"/>
          <w:i/>
          <w:iCs/>
          <w:sz w:val="20"/>
          <w:szCs w:val="20"/>
        </w:rPr>
        <w:t>“un obstáculo grave y cada vez mayor al aumento del uso de las energías renovables es la resistencia de la opinión pública. Al decidir sobre la ubicación siempre hay que tener en cuenta la aceptación de la zona”</w:t>
      </w:r>
    </w:p>
    <w:p w14:paraId="09273923" w14:textId="77777777" w:rsidR="008B4C1D" w:rsidRPr="008B4C1D" w:rsidRDefault="008B4C1D" w:rsidP="002A3D8E">
      <w:pPr>
        <w:spacing w:before="120" w:line="240" w:lineRule="auto"/>
        <w:jc w:val="both"/>
        <w:rPr>
          <w:rFonts w:ascii="Arial" w:hAnsi="Arial" w:cs="Arial"/>
          <w:color w:val="000000"/>
          <w:sz w:val="24"/>
          <w:szCs w:val="24"/>
        </w:rPr>
      </w:pPr>
      <w:r w:rsidRPr="008B4C1D">
        <w:rPr>
          <w:sz w:val="24"/>
          <w:szCs w:val="24"/>
        </w:rPr>
        <w:t>Son moitas as mostras de rexeitamento social contra este proxecto que se levan facendo durante estes anos. A modo de exemplo citaremos:</w:t>
      </w:r>
    </w:p>
    <w:tbl>
      <w:tblPr>
        <w:tblW w:w="960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278"/>
        <w:gridCol w:w="8328"/>
      </w:tblGrid>
      <w:tr w:rsidR="008B4C1D" w14:paraId="3445DA27" w14:textId="77777777" w:rsidTr="00D96A30">
        <w:trPr>
          <w:trHeight w:val="20"/>
          <w:tblHeader/>
          <w:jc w:val="center"/>
        </w:trPr>
        <w:tc>
          <w:tcPr>
            <w:tcW w:w="0" w:type="auto"/>
            <w:tcMar>
              <w:top w:w="0" w:type="dxa"/>
              <w:left w:w="108" w:type="dxa"/>
              <w:bottom w:w="0" w:type="dxa"/>
              <w:right w:w="108" w:type="dxa"/>
            </w:tcMar>
            <w:vAlign w:val="center"/>
            <w:hideMark/>
          </w:tcPr>
          <w:p w14:paraId="40C79A4E" w14:textId="77777777" w:rsidR="008B4C1D" w:rsidRDefault="008B4C1D" w:rsidP="008B4C1D">
            <w:pPr>
              <w:autoSpaceDE w:val="0"/>
              <w:autoSpaceDN w:val="0"/>
              <w:spacing w:after="0" w:line="240" w:lineRule="auto"/>
              <w:jc w:val="center"/>
              <w:rPr>
                <w:rFonts w:cs="Calibri"/>
                <w:b/>
                <w:bCs/>
                <w:i/>
                <w:iCs/>
                <w:color w:val="000000"/>
                <w:sz w:val="24"/>
                <w:szCs w:val="24"/>
              </w:rPr>
            </w:pPr>
            <w:r>
              <w:rPr>
                <w:b/>
                <w:bCs/>
                <w:i/>
                <w:iCs/>
                <w:color w:val="000000"/>
                <w:sz w:val="24"/>
                <w:szCs w:val="24"/>
              </w:rPr>
              <w:t>DATA</w:t>
            </w:r>
          </w:p>
        </w:tc>
        <w:tc>
          <w:tcPr>
            <w:tcW w:w="8328" w:type="dxa"/>
            <w:tcMar>
              <w:top w:w="0" w:type="dxa"/>
              <w:left w:w="108" w:type="dxa"/>
              <w:bottom w:w="0" w:type="dxa"/>
              <w:right w:w="108" w:type="dxa"/>
            </w:tcMar>
            <w:vAlign w:val="center"/>
            <w:hideMark/>
          </w:tcPr>
          <w:p w14:paraId="44776AB7" w14:textId="77777777" w:rsidR="008B4C1D" w:rsidRDefault="008B4C1D" w:rsidP="008B4C1D">
            <w:pPr>
              <w:autoSpaceDE w:val="0"/>
              <w:autoSpaceDN w:val="0"/>
              <w:spacing w:after="0" w:line="240" w:lineRule="auto"/>
              <w:jc w:val="center"/>
              <w:rPr>
                <w:rFonts w:cs="Calibri"/>
                <w:b/>
                <w:bCs/>
                <w:i/>
                <w:iCs/>
                <w:color w:val="000000"/>
                <w:sz w:val="24"/>
                <w:szCs w:val="24"/>
              </w:rPr>
            </w:pPr>
            <w:r>
              <w:rPr>
                <w:b/>
                <w:bCs/>
                <w:i/>
                <w:iCs/>
                <w:color w:val="000000"/>
                <w:sz w:val="24"/>
                <w:szCs w:val="24"/>
              </w:rPr>
              <w:t>TITULO</w:t>
            </w:r>
          </w:p>
        </w:tc>
      </w:tr>
      <w:tr w:rsidR="008B4C1D" w14:paraId="3427BA19" w14:textId="77777777" w:rsidTr="00D96A30">
        <w:trPr>
          <w:trHeight w:val="20"/>
          <w:jc w:val="center"/>
        </w:trPr>
        <w:tc>
          <w:tcPr>
            <w:tcW w:w="0" w:type="auto"/>
            <w:tcMar>
              <w:top w:w="0" w:type="dxa"/>
              <w:left w:w="108" w:type="dxa"/>
              <w:bottom w:w="0" w:type="dxa"/>
              <w:right w:w="108" w:type="dxa"/>
            </w:tcMar>
            <w:vAlign w:val="center"/>
          </w:tcPr>
          <w:p w14:paraId="3667356C" w14:textId="77777777" w:rsidR="008B4C1D" w:rsidRDefault="008B4C1D" w:rsidP="008B4C1D">
            <w:pPr>
              <w:spacing w:after="0" w:line="240" w:lineRule="auto"/>
            </w:pPr>
            <w:r>
              <w:t>07/10/2007</w:t>
            </w:r>
          </w:p>
        </w:tc>
        <w:tc>
          <w:tcPr>
            <w:tcW w:w="8328" w:type="dxa"/>
            <w:tcMar>
              <w:top w:w="0" w:type="dxa"/>
              <w:left w:w="108" w:type="dxa"/>
              <w:bottom w:w="0" w:type="dxa"/>
              <w:right w:w="108" w:type="dxa"/>
            </w:tcMar>
            <w:vAlign w:val="center"/>
          </w:tcPr>
          <w:p w14:paraId="30792FB3" w14:textId="77777777" w:rsidR="008B4C1D" w:rsidRPr="00750940" w:rsidRDefault="0017543F" w:rsidP="008B4C1D">
            <w:pPr>
              <w:spacing w:after="0" w:line="240" w:lineRule="auto"/>
            </w:pPr>
            <w:hyperlink r:id="rId37" w:history="1">
              <w:r w:rsidR="008B4C1D" w:rsidRPr="00750940">
                <w:rPr>
                  <w:rStyle w:val="Hipervnculo"/>
                </w:rPr>
                <w:t>La plataforma SOS Groba organiza hoy una ruta reivindicativa en la sierra baionesa</w:t>
              </w:r>
            </w:hyperlink>
            <w:r w:rsidR="008B4C1D" w:rsidRPr="00750940">
              <w:rPr>
                <w:rStyle w:val="Refdenotaalpie"/>
              </w:rPr>
              <w:footnoteReference w:id="24"/>
            </w:r>
          </w:p>
        </w:tc>
      </w:tr>
      <w:tr w:rsidR="008B4C1D" w14:paraId="0EFAA2DF" w14:textId="77777777" w:rsidTr="00D96A30">
        <w:trPr>
          <w:trHeight w:val="20"/>
          <w:jc w:val="center"/>
        </w:trPr>
        <w:tc>
          <w:tcPr>
            <w:tcW w:w="0" w:type="auto"/>
            <w:tcMar>
              <w:top w:w="0" w:type="dxa"/>
              <w:left w:w="108" w:type="dxa"/>
              <w:bottom w:w="0" w:type="dxa"/>
              <w:right w:w="108" w:type="dxa"/>
            </w:tcMar>
            <w:vAlign w:val="center"/>
            <w:hideMark/>
          </w:tcPr>
          <w:p w14:paraId="6F597D9A" w14:textId="77777777" w:rsidR="008B4C1D" w:rsidRDefault="008B4C1D" w:rsidP="008B4C1D">
            <w:pPr>
              <w:spacing w:after="0" w:line="240" w:lineRule="auto"/>
              <w:rPr>
                <w:rFonts w:cs="Calibri"/>
              </w:rPr>
            </w:pPr>
            <w:r>
              <w:t>28/03/2010</w:t>
            </w:r>
          </w:p>
        </w:tc>
        <w:tc>
          <w:tcPr>
            <w:tcW w:w="8328" w:type="dxa"/>
            <w:tcMar>
              <w:top w:w="0" w:type="dxa"/>
              <w:left w:w="108" w:type="dxa"/>
              <w:bottom w:w="0" w:type="dxa"/>
              <w:right w:w="108" w:type="dxa"/>
            </w:tcMar>
            <w:vAlign w:val="center"/>
            <w:hideMark/>
          </w:tcPr>
          <w:p w14:paraId="57345DAD" w14:textId="77777777" w:rsidR="008B4C1D" w:rsidRPr="00750940" w:rsidRDefault="0017543F" w:rsidP="008B4C1D">
            <w:pPr>
              <w:spacing w:after="0" w:line="240" w:lineRule="auto"/>
              <w:rPr>
                <w:rFonts w:cs="Calibri"/>
              </w:rPr>
            </w:pPr>
            <w:hyperlink r:id="rId38" w:history="1">
              <w:r w:rsidR="008B4C1D" w:rsidRPr="00750940">
                <w:rPr>
                  <w:rStyle w:val="Hipervnculo"/>
                </w:rPr>
                <w:t>Colectivos de O Val Miñor piden incluir la sierra de A Groba en la Red Natura</w:t>
              </w:r>
            </w:hyperlink>
            <w:r w:rsidR="008B4C1D" w:rsidRPr="00750940">
              <w:rPr>
                <w:rStyle w:val="Refdenotaalpie"/>
                <w:color w:val="0000FF" w:themeColor="hyperlink"/>
                <w:u w:val="single"/>
              </w:rPr>
              <w:footnoteReference w:id="25"/>
            </w:r>
          </w:p>
        </w:tc>
      </w:tr>
      <w:tr w:rsidR="00B64C58" w14:paraId="626099EC" w14:textId="77777777" w:rsidTr="00D96A30">
        <w:trPr>
          <w:trHeight w:val="20"/>
          <w:jc w:val="center"/>
        </w:trPr>
        <w:tc>
          <w:tcPr>
            <w:tcW w:w="0" w:type="auto"/>
            <w:tcMar>
              <w:top w:w="0" w:type="dxa"/>
              <w:left w:w="108" w:type="dxa"/>
              <w:bottom w:w="0" w:type="dxa"/>
              <w:right w:w="108" w:type="dxa"/>
            </w:tcMar>
            <w:vAlign w:val="center"/>
          </w:tcPr>
          <w:p w14:paraId="0B0C129E" w14:textId="2EFDE959" w:rsidR="00B64C58" w:rsidRPr="00F7772F" w:rsidRDefault="00B64C58" w:rsidP="00F7772F">
            <w:pPr>
              <w:spacing w:after="0"/>
              <w:rPr>
                <w:rFonts w:asciiTheme="minorHAnsi" w:hAnsiTheme="minorHAnsi" w:cstheme="minorHAnsi"/>
              </w:rPr>
            </w:pPr>
            <w:r w:rsidRPr="00F7772F">
              <w:rPr>
                <w:rFonts w:asciiTheme="minorHAnsi" w:hAnsiTheme="minorHAnsi" w:cstheme="minorHAnsi"/>
                <w:color w:val="000000" w:themeColor="text1"/>
              </w:rPr>
              <w:t>02/01/2012</w:t>
            </w:r>
          </w:p>
        </w:tc>
        <w:tc>
          <w:tcPr>
            <w:tcW w:w="8328" w:type="dxa"/>
            <w:tcMar>
              <w:top w:w="0" w:type="dxa"/>
              <w:left w:w="108" w:type="dxa"/>
              <w:bottom w:w="0" w:type="dxa"/>
              <w:right w:w="108" w:type="dxa"/>
            </w:tcMar>
            <w:vAlign w:val="center"/>
          </w:tcPr>
          <w:p w14:paraId="6932F151" w14:textId="5AF6F0D8" w:rsidR="00B64C58" w:rsidRPr="00750940" w:rsidRDefault="0017543F" w:rsidP="00F7772F">
            <w:pPr>
              <w:spacing w:after="0" w:line="240" w:lineRule="auto"/>
              <w:rPr>
                <w:rFonts w:asciiTheme="minorHAnsi" w:hAnsiTheme="minorHAnsi" w:cstheme="minorHAnsi"/>
                <w:b/>
                <w:color w:val="111111"/>
              </w:rPr>
            </w:pPr>
            <w:hyperlink r:id="rId39" w:history="1">
              <w:bookmarkStart w:id="39" w:name="_Toc91599227"/>
              <w:bookmarkStart w:id="40" w:name="_Toc92292724"/>
              <w:bookmarkStart w:id="41" w:name="_Toc92547255"/>
              <w:r w:rsidR="00B64C58" w:rsidRPr="00750940">
                <w:rPr>
                  <w:rStyle w:val="Hipervnculo"/>
                  <w:rFonts w:asciiTheme="minorHAnsi" w:hAnsiTheme="minorHAnsi" w:cstheme="minorHAnsi"/>
                </w:rPr>
                <w:t>La nueva Red Natura abre huecos para parques eólicos proyectados hace años</w:t>
              </w:r>
            </w:hyperlink>
            <w:r w:rsidR="008D2B07" w:rsidRPr="00750940">
              <w:rPr>
                <w:rStyle w:val="Refdenotaalpie"/>
                <w:rFonts w:asciiTheme="minorHAnsi" w:hAnsiTheme="minorHAnsi"/>
                <w:color w:val="111111"/>
              </w:rPr>
              <w:footnoteReference w:id="26"/>
            </w:r>
            <w:bookmarkEnd w:id="39"/>
            <w:bookmarkEnd w:id="40"/>
            <w:bookmarkEnd w:id="41"/>
          </w:p>
        </w:tc>
      </w:tr>
      <w:tr w:rsidR="008B4C1D" w14:paraId="323A37FA" w14:textId="77777777" w:rsidTr="00D96A30">
        <w:trPr>
          <w:trHeight w:val="20"/>
          <w:jc w:val="center"/>
        </w:trPr>
        <w:tc>
          <w:tcPr>
            <w:tcW w:w="0" w:type="auto"/>
            <w:tcMar>
              <w:top w:w="0" w:type="dxa"/>
              <w:left w:w="108" w:type="dxa"/>
              <w:bottom w:w="0" w:type="dxa"/>
              <w:right w:w="108" w:type="dxa"/>
            </w:tcMar>
            <w:vAlign w:val="center"/>
            <w:hideMark/>
          </w:tcPr>
          <w:p w14:paraId="198ACBDA" w14:textId="77777777" w:rsidR="008B4C1D" w:rsidRDefault="008B4C1D" w:rsidP="008B4C1D">
            <w:pPr>
              <w:spacing w:after="0" w:line="240" w:lineRule="auto"/>
              <w:rPr>
                <w:rFonts w:cs="Calibri"/>
              </w:rPr>
            </w:pPr>
            <w:r>
              <w:t>24/03/2012</w:t>
            </w:r>
          </w:p>
        </w:tc>
        <w:tc>
          <w:tcPr>
            <w:tcW w:w="8328" w:type="dxa"/>
            <w:tcMar>
              <w:top w:w="0" w:type="dxa"/>
              <w:left w:w="108" w:type="dxa"/>
              <w:bottom w:w="0" w:type="dxa"/>
              <w:right w:w="108" w:type="dxa"/>
            </w:tcMar>
            <w:vAlign w:val="center"/>
            <w:hideMark/>
          </w:tcPr>
          <w:p w14:paraId="7CBB22FD" w14:textId="77777777" w:rsidR="008B4C1D" w:rsidRPr="00750940" w:rsidRDefault="0017543F" w:rsidP="008B4C1D">
            <w:pPr>
              <w:spacing w:after="0" w:line="240" w:lineRule="auto"/>
              <w:rPr>
                <w:rFonts w:cs="Calibri"/>
              </w:rPr>
            </w:pPr>
            <w:hyperlink r:id="rId40" w:history="1">
              <w:r w:rsidR="008B4C1D" w:rsidRPr="00750940">
                <w:rPr>
                  <w:rStyle w:val="Hipervnculo"/>
                </w:rPr>
                <w:t>Cuarenta colectivos exigen que A Groba y O Galiñeiro se engloben en la Red Natura</w:t>
              </w:r>
            </w:hyperlink>
            <w:r w:rsidR="008B4C1D" w:rsidRPr="00750940">
              <w:rPr>
                <w:rStyle w:val="Refdenotaalpie"/>
                <w:color w:val="0000FF" w:themeColor="hyperlink"/>
                <w:u w:val="single"/>
              </w:rPr>
              <w:footnoteReference w:id="27"/>
            </w:r>
          </w:p>
        </w:tc>
      </w:tr>
      <w:tr w:rsidR="00B64C58" w14:paraId="3EB6F548" w14:textId="77777777" w:rsidTr="00D96A30">
        <w:trPr>
          <w:trHeight w:val="20"/>
          <w:jc w:val="center"/>
        </w:trPr>
        <w:tc>
          <w:tcPr>
            <w:tcW w:w="0" w:type="auto"/>
            <w:tcMar>
              <w:top w:w="0" w:type="dxa"/>
              <w:left w:w="108" w:type="dxa"/>
              <w:bottom w:w="0" w:type="dxa"/>
              <w:right w:w="108" w:type="dxa"/>
            </w:tcMar>
            <w:vAlign w:val="center"/>
          </w:tcPr>
          <w:p w14:paraId="52A79A69" w14:textId="125FDDD9" w:rsidR="00B64C58" w:rsidRDefault="00B64C58" w:rsidP="008B4C1D">
            <w:pPr>
              <w:spacing w:after="0" w:line="240" w:lineRule="auto"/>
            </w:pPr>
            <w:r>
              <w:t>13/06/2013</w:t>
            </w:r>
          </w:p>
        </w:tc>
        <w:tc>
          <w:tcPr>
            <w:tcW w:w="8328" w:type="dxa"/>
            <w:tcMar>
              <w:top w:w="0" w:type="dxa"/>
              <w:left w:w="108" w:type="dxa"/>
              <w:bottom w:w="0" w:type="dxa"/>
              <w:right w:w="108" w:type="dxa"/>
            </w:tcMar>
            <w:vAlign w:val="center"/>
          </w:tcPr>
          <w:p w14:paraId="02DBA0DD" w14:textId="28A4E656" w:rsidR="00B64C58" w:rsidRPr="00750940" w:rsidRDefault="0017543F" w:rsidP="008B4C1D">
            <w:pPr>
              <w:spacing w:after="0" w:line="240" w:lineRule="auto"/>
            </w:pPr>
            <w:hyperlink r:id="rId41" w:history="1">
              <w:r w:rsidR="00B64C58" w:rsidRPr="00750940">
                <w:rPr>
                  <w:rStyle w:val="Hipervnculo"/>
                </w:rPr>
                <w:t>Una firma porriñesa promueve un nuevo parque eólico con siete molinos en la Serra da Groba</w:t>
              </w:r>
            </w:hyperlink>
            <w:r w:rsidR="00B64C58" w:rsidRPr="00750940">
              <w:rPr>
                <w:rStyle w:val="Refdenotaalpie"/>
              </w:rPr>
              <w:footnoteReference w:id="28"/>
            </w:r>
          </w:p>
        </w:tc>
      </w:tr>
      <w:tr w:rsidR="008B4C1D" w14:paraId="354EF122" w14:textId="77777777" w:rsidTr="00D96A30">
        <w:trPr>
          <w:trHeight w:val="20"/>
          <w:jc w:val="center"/>
        </w:trPr>
        <w:tc>
          <w:tcPr>
            <w:tcW w:w="0" w:type="auto"/>
            <w:tcMar>
              <w:top w:w="0" w:type="dxa"/>
              <w:left w:w="108" w:type="dxa"/>
              <w:bottom w:w="0" w:type="dxa"/>
              <w:right w:w="108" w:type="dxa"/>
            </w:tcMar>
            <w:vAlign w:val="center"/>
          </w:tcPr>
          <w:p w14:paraId="1CB3196E" w14:textId="77777777" w:rsidR="008B4C1D" w:rsidRDefault="008B4C1D" w:rsidP="008B4C1D">
            <w:pPr>
              <w:spacing w:after="0" w:line="240" w:lineRule="auto"/>
            </w:pPr>
            <w:r>
              <w:t>07/11/2020</w:t>
            </w:r>
          </w:p>
        </w:tc>
        <w:tc>
          <w:tcPr>
            <w:tcW w:w="8328" w:type="dxa"/>
            <w:tcMar>
              <w:top w:w="0" w:type="dxa"/>
              <w:left w:w="108" w:type="dxa"/>
              <w:bottom w:w="0" w:type="dxa"/>
              <w:right w:w="108" w:type="dxa"/>
            </w:tcMar>
            <w:vAlign w:val="center"/>
          </w:tcPr>
          <w:p w14:paraId="1DE3555F" w14:textId="77777777" w:rsidR="008B4C1D" w:rsidRPr="00750940" w:rsidRDefault="0017543F" w:rsidP="008B4C1D">
            <w:pPr>
              <w:spacing w:after="0" w:line="240" w:lineRule="auto"/>
            </w:pPr>
            <w:hyperlink r:id="rId42" w:history="1">
              <w:r w:rsidR="008B4C1D" w:rsidRPr="00750940">
                <w:rPr>
                  <w:rStyle w:val="Hipervnculo"/>
                </w:rPr>
                <w:t>Ecoloxistas en acción llama a proteger la riqueza de la Serra da Groba y O Galiñeiro</w:t>
              </w:r>
            </w:hyperlink>
            <w:r w:rsidR="008B4C1D" w:rsidRPr="00750940">
              <w:rPr>
                <w:rStyle w:val="Refdenotaalpie"/>
              </w:rPr>
              <w:footnoteReference w:id="29"/>
            </w:r>
          </w:p>
        </w:tc>
      </w:tr>
      <w:tr w:rsidR="008D2B07" w14:paraId="21ACCC1C" w14:textId="77777777" w:rsidTr="00D96A30">
        <w:trPr>
          <w:trHeight w:val="20"/>
          <w:jc w:val="center"/>
        </w:trPr>
        <w:tc>
          <w:tcPr>
            <w:tcW w:w="0" w:type="auto"/>
            <w:tcMar>
              <w:top w:w="0" w:type="dxa"/>
              <w:left w:w="108" w:type="dxa"/>
              <w:bottom w:w="0" w:type="dxa"/>
              <w:right w:w="108" w:type="dxa"/>
            </w:tcMar>
            <w:vAlign w:val="center"/>
          </w:tcPr>
          <w:p w14:paraId="137C833C" w14:textId="7D1F228A" w:rsidR="008D2B07" w:rsidRDefault="008D2B07" w:rsidP="008B4C1D">
            <w:pPr>
              <w:spacing w:after="0" w:line="240" w:lineRule="auto"/>
            </w:pPr>
            <w:r>
              <w:t>03/12/2020</w:t>
            </w:r>
          </w:p>
        </w:tc>
        <w:tc>
          <w:tcPr>
            <w:tcW w:w="8328" w:type="dxa"/>
            <w:tcMar>
              <w:top w:w="0" w:type="dxa"/>
              <w:left w:w="108" w:type="dxa"/>
              <w:bottom w:w="0" w:type="dxa"/>
              <w:right w:w="108" w:type="dxa"/>
            </w:tcMar>
            <w:vAlign w:val="center"/>
          </w:tcPr>
          <w:p w14:paraId="2AC34EA5" w14:textId="7EC1A399" w:rsidR="008D2B07" w:rsidRPr="00750940" w:rsidRDefault="0017543F" w:rsidP="008B4C1D">
            <w:pPr>
              <w:spacing w:after="0" w:line="240" w:lineRule="auto"/>
            </w:pPr>
            <w:hyperlink r:id="rId43" w:history="1">
              <w:r w:rsidR="008D2B07" w:rsidRPr="00750940">
                <w:rPr>
                  <w:rStyle w:val="Hipervnculo"/>
                </w:rPr>
                <w:t>O BNG de Oia logra o acordó do pleno para rexeitar o megaproxecto eólico na Serra do Galiñeiro, A Groba e O Merendón</w:t>
              </w:r>
            </w:hyperlink>
            <w:r w:rsidR="008D2B07" w:rsidRPr="00750940">
              <w:rPr>
                <w:rStyle w:val="Refdenotaalpie"/>
              </w:rPr>
              <w:footnoteReference w:id="30"/>
            </w:r>
          </w:p>
        </w:tc>
      </w:tr>
      <w:tr w:rsidR="008B4C1D" w14:paraId="17665F88" w14:textId="77777777" w:rsidTr="00D96A30">
        <w:trPr>
          <w:trHeight w:val="20"/>
          <w:jc w:val="center"/>
        </w:trPr>
        <w:tc>
          <w:tcPr>
            <w:tcW w:w="0" w:type="auto"/>
            <w:tcMar>
              <w:top w:w="0" w:type="dxa"/>
              <w:left w:w="108" w:type="dxa"/>
              <w:bottom w:w="0" w:type="dxa"/>
              <w:right w:w="108" w:type="dxa"/>
            </w:tcMar>
            <w:vAlign w:val="center"/>
          </w:tcPr>
          <w:p w14:paraId="3085741A" w14:textId="77777777" w:rsidR="008B4C1D" w:rsidRDefault="008B4C1D" w:rsidP="008B4C1D">
            <w:pPr>
              <w:spacing w:after="0" w:line="240" w:lineRule="auto"/>
            </w:pPr>
            <w:r>
              <w:t>29/01/2021</w:t>
            </w:r>
          </w:p>
        </w:tc>
        <w:tc>
          <w:tcPr>
            <w:tcW w:w="8328" w:type="dxa"/>
            <w:tcMar>
              <w:top w:w="0" w:type="dxa"/>
              <w:left w:w="108" w:type="dxa"/>
              <w:bottom w:w="0" w:type="dxa"/>
              <w:right w:w="108" w:type="dxa"/>
            </w:tcMar>
            <w:vAlign w:val="center"/>
          </w:tcPr>
          <w:p w14:paraId="0AC3DF9E" w14:textId="77777777" w:rsidR="008B4C1D" w:rsidRPr="00750940" w:rsidRDefault="0017543F" w:rsidP="008B4C1D">
            <w:pPr>
              <w:spacing w:after="0" w:line="240" w:lineRule="auto"/>
            </w:pPr>
            <w:hyperlink r:id="rId44" w:history="1">
              <w:r w:rsidR="008B4C1D" w:rsidRPr="00750940">
                <w:rPr>
                  <w:rStyle w:val="Hipervnculo"/>
                </w:rPr>
                <w:t>O Rosal rechaza el proyecto del parque eólico en A Serra da Groba</w:t>
              </w:r>
            </w:hyperlink>
            <w:r w:rsidR="008B4C1D" w:rsidRPr="00750940">
              <w:rPr>
                <w:rStyle w:val="Refdenotaalpie"/>
              </w:rPr>
              <w:footnoteReference w:id="31"/>
            </w:r>
          </w:p>
        </w:tc>
      </w:tr>
      <w:tr w:rsidR="008B4C1D" w14:paraId="5B8A0337" w14:textId="77777777" w:rsidTr="00D96A30">
        <w:trPr>
          <w:trHeight w:val="20"/>
          <w:jc w:val="center"/>
        </w:trPr>
        <w:tc>
          <w:tcPr>
            <w:tcW w:w="0" w:type="auto"/>
            <w:tcMar>
              <w:top w:w="0" w:type="dxa"/>
              <w:left w:w="108" w:type="dxa"/>
              <w:bottom w:w="0" w:type="dxa"/>
              <w:right w:w="108" w:type="dxa"/>
            </w:tcMar>
            <w:vAlign w:val="center"/>
          </w:tcPr>
          <w:p w14:paraId="4D6BA18C" w14:textId="77777777" w:rsidR="008B4C1D" w:rsidRDefault="008B4C1D" w:rsidP="008B4C1D">
            <w:pPr>
              <w:spacing w:after="0" w:line="240" w:lineRule="auto"/>
            </w:pPr>
            <w:r>
              <w:t>29/01/2021</w:t>
            </w:r>
          </w:p>
        </w:tc>
        <w:tc>
          <w:tcPr>
            <w:tcW w:w="8328" w:type="dxa"/>
            <w:tcMar>
              <w:top w:w="0" w:type="dxa"/>
              <w:left w:w="108" w:type="dxa"/>
              <w:bottom w:w="0" w:type="dxa"/>
              <w:right w:w="108" w:type="dxa"/>
            </w:tcMar>
            <w:vAlign w:val="center"/>
          </w:tcPr>
          <w:p w14:paraId="35215A17" w14:textId="77777777" w:rsidR="008B4C1D" w:rsidRPr="00750940" w:rsidRDefault="0017543F" w:rsidP="008B4C1D">
            <w:pPr>
              <w:spacing w:after="0" w:line="240" w:lineRule="auto"/>
            </w:pPr>
            <w:hyperlink r:id="rId45" w:history="1">
              <w:r w:rsidR="008B4C1D" w:rsidRPr="00750940">
                <w:rPr>
                  <w:rStyle w:val="Hipervnculo"/>
                </w:rPr>
                <w:t>La lucha contra los parques eólicos de A Groba y O Galiñeiro llega a la UE</w:t>
              </w:r>
            </w:hyperlink>
            <w:r w:rsidR="008B4C1D" w:rsidRPr="00750940">
              <w:rPr>
                <w:rStyle w:val="Refdenotaalpie"/>
              </w:rPr>
              <w:footnoteReference w:id="32"/>
            </w:r>
          </w:p>
        </w:tc>
      </w:tr>
      <w:tr w:rsidR="008D2B07" w14:paraId="2F54314C" w14:textId="77777777" w:rsidTr="00D96A30">
        <w:trPr>
          <w:trHeight w:val="20"/>
          <w:jc w:val="center"/>
        </w:trPr>
        <w:tc>
          <w:tcPr>
            <w:tcW w:w="0" w:type="auto"/>
            <w:tcMar>
              <w:top w:w="0" w:type="dxa"/>
              <w:left w:w="108" w:type="dxa"/>
              <w:bottom w:w="0" w:type="dxa"/>
              <w:right w:w="108" w:type="dxa"/>
            </w:tcMar>
            <w:vAlign w:val="center"/>
          </w:tcPr>
          <w:p w14:paraId="3699C985" w14:textId="4BF3EF2D" w:rsidR="008D2B07" w:rsidRDefault="008D2B07" w:rsidP="00F7772F">
            <w:r>
              <w:lastRenderedPageBreak/>
              <w:t>15/02/2021</w:t>
            </w:r>
          </w:p>
        </w:tc>
        <w:tc>
          <w:tcPr>
            <w:tcW w:w="8328" w:type="dxa"/>
            <w:tcMar>
              <w:top w:w="0" w:type="dxa"/>
              <w:left w:w="108" w:type="dxa"/>
              <w:bottom w:w="0" w:type="dxa"/>
              <w:right w:w="108" w:type="dxa"/>
            </w:tcMar>
            <w:vAlign w:val="center"/>
          </w:tcPr>
          <w:p w14:paraId="44D4B5ED" w14:textId="493C0962" w:rsidR="008D2B07" w:rsidRPr="00750940" w:rsidRDefault="0017543F" w:rsidP="00F7772F">
            <w:pPr>
              <w:spacing w:after="0" w:line="240" w:lineRule="auto"/>
              <w:rPr>
                <w:rFonts w:asciiTheme="minorHAnsi" w:hAnsiTheme="minorHAnsi" w:cstheme="minorHAnsi"/>
                <w:b/>
                <w:color w:val="333333"/>
              </w:rPr>
            </w:pPr>
            <w:hyperlink r:id="rId46" w:history="1">
              <w:bookmarkStart w:id="42" w:name="_Toc91599228"/>
              <w:bookmarkStart w:id="43" w:name="_Toc92292725"/>
              <w:bookmarkStart w:id="44" w:name="_Toc92547256"/>
              <w:r w:rsidR="008D2B07" w:rsidRPr="00750940">
                <w:rPr>
                  <w:rStyle w:val="Hipervnculo"/>
                  <w:rFonts w:asciiTheme="minorHAnsi" w:hAnsiTheme="minorHAnsi" w:cstheme="minorHAnsi"/>
                </w:rPr>
                <w:t>Así se fragmenta un parque eólico para facilitar a súa autorización ambiental: as denuncias espállanse por Galicia</w:t>
              </w:r>
            </w:hyperlink>
            <w:r w:rsidR="008D2B07" w:rsidRPr="00750940">
              <w:rPr>
                <w:rStyle w:val="Refdenotaalpie"/>
                <w:rFonts w:asciiTheme="minorHAnsi" w:hAnsiTheme="minorHAnsi"/>
                <w:color w:val="333333"/>
              </w:rPr>
              <w:footnoteReference w:id="33"/>
            </w:r>
            <w:bookmarkEnd w:id="42"/>
            <w:bookmarkEnd w:id="43"/>
            <w:bookmarkEnd w:id="44"/>
          </w:p>
        </w:tc>
      </w:tr>
      <w:tr w:rsidR="008B4C1D" w14:paraId="593DC57A" w14:textId="77777777" w:rsidTr="00D96A30">
        <w:trPr>
          <w:trHeight w:val="20"/>
          <w:jc w:val="center"/>
        </w:trPr>
        <w:tc>
          <w:tcPr>
            <w:tcW w:w="0" w:type="auto"/>
            <w:tcMar>
              <w:top w:w="0" w:type="dxa"/>
              <w:left w:w="108" w:type="dxa"/>
              <w:bottom w:w="0" w:type="dxa"/>
              <w:right w:w="108" w:type="dxa"/>
            </w:tcMar>
            <w:vAlign w:val="center"/>
            <w:hideMark/>
          </w:tcPr>
          <w:p w14:paraId="2C9B513E" w14:textId="77777777" w:rsidR="008B4C1D" w:rsidRDefault="008B4C1D" w:rsidP="008B4C1D">
            <w:pPr>
              <w:spacing w:after="0" w:line="240" w:lineRule="auto"/>
              <w:rPr>
                <w:rFonts w:cs="Calibri"/>
              </w:rPr>
            </w:pPr>
            <w:r>
              <w:t>16/05/2021</w:t>
            </w:r>
          </w:p>
        </w:tc>
        <w:tc>
          <w:tcPr>
            <w:tcW w:w="8328" w:type="dxa"/>
            <w:tcMar>
              <w:top w:w="0" w:type="dxa"/>
              <w:left w:w="108" w:type="dxa"/>
              <w:bottom w:w="0" w:type="dxa"/>
              <w:right w:w="108" w:type="dxa"/>
            </w:tcMar>
            <w:vAlign w:val="center"/>
            <w:hideMark/>
          </w:tcPr>
          <w:p w14:paraId="5D888406" w14:textId="77777777" w:rsidR="008B4C1D" w:rsidRPr="00750940" w:rsidRDefault="0017543F" w:rsidP="008B4C1D">
            <w:pPr>
              <w:spacing w:after="0" w:line="240" w:lineRule="auto"/>
              <w:rPr>
                <w:rFonts w:cs="Calibri"/>
              </w:rPr>
            </w:pPr>
            <w:hyperlink r:id="rId47" w:history="1">
              <w:r w:rsidR="008B4C1D" w:rsidRPr="00750940">
                <w:rPr>
                  <w:rStyle w:val="Hipervnculo"/>
                </w:rPr>
                <w:t>Más de mil personas claman contra los parques eólicos en A Groba</w:t>
              </w:r>
            </w:hyperlink>
            <w:r w:rsidR="008B4C1D" w:rsidRPr="00750940">
              <w:rPr>
                <w:rStyle w:val="Refdenotaalpie"/>
                <w:color w:val="0000FF" w:themeColor="hyperlink"/>
                <w:u w:val="single"/>
              </w:rPr>
              <w:footnoteReference w:id="34"/>
            </w:r>
          </w:p>
        </w:tc>
      </w:tr>
      <w:tr w:rsidR="008B4C1D" w14:paraId="6599A6F1" w14:textId="77777777" w:rsidTr="00D96A30">
        <w:trPr>
          <w:trHeight w:val="20"/>
          <w:jc w:val="center"/>
        </w:trPr>
        <w:tc>
          <w:tcPr>
            <w:tcW w:w="0" w:type="auto"/>
            <w:tcMar>
              <w:top w:w="0" w:type="dxa"/>
              <w:left w:w="108" w:type="dxa"/>
              <w:bottom w:w="0" w:type="dxa"/>
              <w:right w:w="108" w:type="dxa"/>
            </w:tcMar>
            <w:vAlign w:val="center"/>
          </w:tcPr>
          <w:p w14:paraId="31CDB75B" w14:textId="77777777" w:rsidR="008B4C1D" w:rsidRDefault="008B4C1D" w:rsidP="008B4C1D">
            <w:pPr>
              <w:spacing w:after="0" w:line="240" w:lineRule="auto"/>
            </w:pPr>
            <w:r>
              <w:t>17/05/2021</w:t>
            </w:r>
          </w:p>
        </w:tc>
        <w:tc>
          <w:tcPr>
            <w:tcW w:w="8328" w:type="dxa"/>
            <w:tcMar>
              <w:top w:w="0" w:type="dxa"/>
              <w:left w:w="108" w:type="dxa"/>
              <w:bottom w:w="0" w:type="dxa"/>
              <w:right w:w="108" w:type="dxa"/>
            </w:tcMar>
            <w:vAlign w:val="center"/>
          </w:tcPr>
          <w:p w14:paraId="3BFFF653" w14:textId="77777777" w:rsidR="008B4C1D" w:rsidRPr="00750940" w:rsidRDefault="0017543F" w:rsidP="008B4C1D">
            <w:pPr>
              <w:spacing w:after="0" w:line="240" w:lineRule="auto"/>
            </w:pPr>
            <w:hyperlink r:id="rId48" w:history="1">
              <w:r w:rsidR="008B4C1D" w:rsidRPr="00750940">
                <w:rPr>
                  <w:rStyle w:val="Hipervnculo"/>
                </w:rPr>
                <w:t>“Os eólicos serán a morte definitiva da Serra da Groba”</w:t>
              </w:r>
            </w:hyperlink>
            <w:r w:rsidR="008B4C1D" w:rsidRPr="00750940">
              <w:rPr>
                <w:rStyle w:val="Refdenotaalpie"/>
              </w:rPr>
              <w:footnoteReference w:id="35"/>
            </w:r>
          </w:p>
        </w:tc>
      </w:tr>
      <w:tr w:rsidR="008B4C1D" w14:paraId="0D9990BA" w14:textId="77777777" w:rsidTr="00D96A30">
        <w:trPr>
          <w:trHeight w:val="20"/>
          <w:jc w:val="center"/>
        </w:trPr>
        <w:tc>
          <w:tcPr>
            <w:tcW w:w="0" w:type="auto"/>
            <w:tcMar>
              <w:top w:w="0" w:type="dxa"/>
              <w:left w:w="108" w:type="dxa"/>
              <w:bottom w:w="0" w:type="dxa"/>
              <w:right w:w="108" w:type="dxa"/>
            </w:tcMar>
            <w:vAlign w:val="center"/>
            <w:hideMark/>
          </w:tcPr>
          <w:p w14:paraId="52A64EC1" w14:textId="77777777" w:rsidR="008B4C1D" w:rsidRDefault="008B4C1D" w:rsidP="008B4C1D">
            <w:pPr>
              <w:spacing w:after="0" w:line="240" w:lineRule="auto"/>
              <w:rPr>
                <w:rFonts w:cs="Calibri"/>
              </w:rPr>
            </w:pPr>
            <w:r>
              <w:t>04/06/2021</w:t>
            </w:r>
          </w:p>
        </w:tc>
        <w:tc>
          <w:tcPr>
            <w:tcW w:w="8328" w:type="dxa"/>
            <w:tcMar>
              <w:top w:w="0" w:type="dxa"/>
              <w:left w:w="108" w:type="dxa"/>
              <w:bottom w:w="0" w:type="dxa"/>
              <w:right w:w="108" w:type="dxa"/>
            </w:tcMar>
            <w:vAlign w:val="center"/>
            <w:hideMark/>
          </w:tcPr>
          <w:p w14:paraId="51282ED5" w14:textId="52FAC2C0" w:rsidR="00750940" w:rsidRPr="00750940" w:rsidRDefault="0017543F" w:rsidP="00F7772F">
            <w:pPr>
              <w:spacing w:after="0" w:line="240" w:lineRule="auto"/>
              <w:rPr>
                <w:rFonts w:cs="Calibri"/>
              </w:rPr>
            </w:pPr>
            <w:hyperlink r:id="rId49" w:history="1">
              <w:r w:rsidR="008B4C1D" w:rsidRPr="00750940">
                <w:rPr>
                  <w:rStyle w:val="Hipervnculo"/>
                </w:rPr>
                <w:t>La estrategia energética de Feijóo levanta la protesta ciudadana contra los parques eólicos</w:t>
              </w:r>
            </w:hyperlink>
            <w:r w:rsidR="008B4C1D" w:rsidRPr="00750940">
              <w:rPr>
                <w:rStyle w:val="Refdenotaalpie"/>
                <w:color w:val="0000FF" w:themeColor="hyperlink"/>
                <w:u w:val="single"/>
              </w:rPr>
              <w:footnoteReference w:id="36"/>
            </w:r>
          </w:p>
        </w:tc>
      </w:tr>
      <w:tr w:rsidR="008B4C1D" w14:paraId="1C713E5F" w14:textId="77777777" w:rsidTr="00D96A30">
        <w:trPr>
          <w:trHeight w:val="20"/>
          <w:jc w:val="center"/>
        </w:trPr>
        <w:tc>
          <w:tcPr>
            <w:tcW w:w="0" w:type="auto"/>
            <w:tcMar>
              <w:top w:w="0" w:type="dxa"/>
              <w:left w:w="108" w:type="dxa"/>
              <w:bottom w:w="0" w:type="dxa"/>
              <w:right w:w="108" w:type="dxa"/>
            </w:tcMar>
            <w:vAlign w:val="center"/>
          </w:tcPr>
          <w:p w14:paraId="126CBE23" w14:textId="77777777" w:rsidR="008B4C1D" w:rsidRDefault="008B4C1D" w:rsidP="008B4C1D">
            <w:pPr>
              <w:spacing w:after="0" w:line="240" w:lineRule="auto"/>
            </w:pPr>
            <w:r>
              <w:t>08/11/2021</w:t>
            </w:r>
          </w:p>
        </w:tc>
        <w:tc>
          <w:tcPr>
            <w:tcW w:w="8328" w:type="dxa"/>
            <w:tcMar>
              <w:top w:w="0" w:type="dxa"/>
              <w:left w:w="108" w:type="dxa"/>
              <w:bottom w:w="0" w:type="dxa"/>
              <w:right w:w="108" w:type="dxa"/>
            </w:tcMar>
            <w:vAlign w:val="center"/>
          </w:tcPr>
          <w:p w14:paraId="70C6F9FC" w14:textId="77777777" w:rsidR="008B4C1D" w:rsidRPr="00750940" w:rsidRDefault="0017543F" w:rsidP="008B4C1D">
            <w:pPr>
              <w:spacing w:after="0" w:line="240" w:lineRule="auto"/>
            </w:pPr>
            <w:hyperlink r:id="rId50" w:history="1">
              <w:r w:rsidR="008B4C1D" w:rsidRPr="00750940">
                <w:rPr>
                  <w:rStyle w:val="Hipervnculo"/>
                </w:rPr>
                <w:t>Oia reafirma su rechazo a los parques eólicos en la Serra da Groba</w:t>
              </w:r>
            </w:hyperlink>
            <w:r w:rsidR="008B4C1D" w:rsidRPr="00750940">
              <w:rPr>
                <w:rStyle w:val="Refdenotaalpie"/>
              </w:rPr>
              <w:footnoteReference w:id="37"/>
            </w:r>
          </w:p>
        </w:tc>
      </w:tr>
      <w:tr w:rsidR="008D2B07" w14:paraId="1A098874" w14:textId="77777777" w:rsidTr="00D96A30">
        <w:trPr>
          <w:trHeight w:val="20"/>
          <w:jc w:val="center"/>
        </w:trPr>
        <w:tc>
          <w:tcPr>
            <w:tcW w:w="0" w:type="auto"/>
            <w:tcMar>
              <w:top w:w="0" w:type="dxa"/>
              <w:left w:w="108" w:type="dxa"/>
              <w:bottom w:w="0" w:type="dxa"/>
              <w:right w:w="108" w:type="dxa"/>
            </w:tcMar>
            <w:vAlign w:val="center"/>
          </w:tcPr>
          <w:p w14:paraId="14F160B2" w14:textId="7AC491FE" w:rsidR="008D2B07" w:rsidRDefault="008D2B07" w:rsidP="008B4C1D">
            <w:pPr>
              <w:spacing w:after="0" w:line="240" w:lineRule="auto"/>
            </w:pPr>
            <w:r>
              <w:t>27/12/2021</w:t>
            </w:r>
          </w:p>
        </w:tc>
        <w:tc>
          <w:tcPr>
            <w:tcW w:w="8328" w:type="dxa"/>
            <w:tcMar>
              <w:top w:w="0" w:type="dxa"/>
              <w:left w:w="108" w:type="dxa"/>
              <w:bottom w:w="0" w:type="dxa"/>
              <w:right w:w="108" w:type="dxa"/>
            </w:tcMar>
            <w:vAlign w:val="center"/>
          </w:tcPr>
          <w:p w14:paraId="0B175AF8" w14:textId="68FFB6E6" w:rsidR="00D96A30" w:rsidRPr="00D96A30" w:rsidRDefault="0017543F" w:rsidP="008B4C1D">
            <w:pPr>
              <w:spacing w:after="0" w:line="240" w:lineRule="auto"/>
              <w:rPr>
                <w:color w:val="0000FF"/>
                <w:u w:val="single"/>
              </w:rPr>
            </w:pPr>
            <w:hyperlink r:id="rId51" w:history="1">
              <w:r w:rsidR="008D2B07" w:rsidRPr="00750940">
                <w:rPr>
                  <w:rStyle w:val="Hipervnculo"/>
                </w:rPr>
                <w:t>O Concello de Oia alegará contra el parque eólico del “Merendón”</w:t>
              </w:r>
            </w:hyperlink>
            <w:r w:rsidR="008D2B07" w:rsidRPr="00750940">
              <w:rPr>
                <w:rStyle w:val="Refdenotaalpie"/>
              </w:rPr>
              <w:footnoteReference w:id="38"/>
            </w:r>
          </w:p>
        </w:tc>
      </w:tr>
      <w:tr w:rsidR="004D2D6D" w14:paraId="23F5110C" w14:textId="77777777" w:rsidTr="00D96A30">
        <w:trPr>
          <w:trHeight w:val="20"/>
          <w:jc w:val="center"/>
        </w:trPr>
        <w:tc>
          <w:tcPr>
            <w:tcW w:w="0" w:type="auto"/>
            <w:tcMar>
              <w:top w:w="0" w:type="dxa"/>
              <w:left w:w="108" w:type="dxa"/>
              <w:bottom w:w="0" w:type="dxa"/>
              <w:right w:w="108" w:type="dxa"/>
            </w:tcMar>
            <w:vAlign w:val="center"/>
          </w:tcPr>
          <w:p w14:paraId="5AA1B4C6" w14:textId="0B9BB109" w:rsidR="004D2D6D" w:rsidRDefault="004D2D6D" w:rsidP="008B4C1D">
            <w:pPr>
              <w:spacing w:after="0" w:line="240" w:lineRule="auto"/>
            </w:pPr>
            <w:r>
              <w:t>23/09/2022</w:t>
            </w:r>
          </w:p>
        </w:tc>
        <w:tc>
          <w:tcPr>
            <w:tcW w:w="8328" w:type="dxa"/>
            <w:tcMar>
              <w:top w:w="0" w:type="dxa"/>
              <w:left w:w="108" w:type="dxa"/>
              <w:bottom w:w="0" w:type="dxa"/>
              <w:right w:w="108" w:type="dxa"/>
            </w:tcMar>
            <w:vAlign w:val="center"/>
          </w:tcPr>
          <w:p w14:paraId="08A102CC" w14:textId="68A880C5" w:rsidR="004D2D6D" w:rsidRDefault="0017543F" w:rsidP="004D2D6D">
            <w:pPr>
              <w:spacing w:after="0"/>
            </w:pPr>
            <w:hyperlink r:id="rId52" w:history="1">
              <w:r w:rsidR="004D2D6D" w:rsidRPr="004D2D6D">
                <w:rPr>
                  <w:rStyle w:val="Hipervnculo"/>
                </w:rPr>
                <w:t>SOS Groba mantiene la presion contra el parque eólico anulado</w:t>
              </w:r>
            </w:hyperlink>
            <w:r w:rsidR="004D2D6D">
              <w:rPr>
                <w:rStyle w:val="Refdenotaalpie"/>
              </w:rPr>
              <w:footnoteReference w:id="39"/>
            </w:r>
          </w:p>
        </w:tc>
      </w:tr>
      <w:tr w:rsidR="00611631" w14:paraId="2B0228B8" w14:textId="77777777" w:rsidTr="00243257">
        <w:trPr>
          <w:trHeight w:val="418"/>
          <w:jc w:val="center"/>
        </w:trPr>
        <w:tc>
          <w:tcPr>
            <w:tcW w:w="0" w:type="auto"/>
            <w:tcMar>
              <w:top w:w="0" w:type="dxa"/>
              <w:left w:w="108" w:type="dxa"/>
              <w:bottom w:w="0" w:type="dxa"/>
              <w:right w:w="108" w:type="dxa"/>
            </w:tcMar>
            <w:vAlign w:val="center"/>
          </w:tcPr>
          <w:p w14:paraId="271C22F5" w14:textId="0CE0DA9C" w:rsidR="00611631" w:rsidRPr="00243257" w:rsidRDefault="00611631" w:rsidP="00243257">
            <w:r w:rsidRPr="00243257">
              <w:t>24/09/2022</w:t>
            </w:r>
          </w:p>
        </w:tc>
        <w:tc>
          <w:tcPr>
            <w:tcW w:w="8328" w:type="dxa"/>
            <w:tcMar>
              <w:top w:w="0" w:type="dxa"/>
              <w:left w:w="108" w:type="dxa"/>
              <w:bottom w:w="0" w:type="dxa"/>
              <w:right w:w="108" w:type="dxa"/>
            </w:tcMar>
            <w:vAlign w:val="center"/>
          </w:tcPr>
          <w:p w14:paraId="7D75CB38" w14:textId="61D04D65" w:rsidR="00611631" w:rsidRPr="00611631" w:rsidRDefault="0017543F" w:rsidP="00090FAC">
            <w:pPr>
              <w:spacing w:after="0"/>
              <w:rPr>
                <w:rFonts w:asciiTheme="minorHAnsi" w:hAnsiTheme="minorHAnsi" w:cstheme="minorHAnsi"/>
                <w:b/>
                <w:color w:val="000000"/>
              </w:rPr>
            </w:pPr>
            <w:hyperlink r:id="rId53" w:history="1">
              <w:r w:rsidR="00611631" w:rsidRPr="00611631">
                <w:rPr>
                  <w:rStyle w:val="Hipervnculo"/>
                  <w:rFonts w:asciiTheme="minorHAnsi" w:hAnsiTheme="minorHAnsi" w:cstheme="minorHAnsi"/>
                </w:rPr>
                <w:t>La Xunta rechaza el parque eólico de A Groba por su impacto ambiental</w:t>
              </w:r>
            </w:hyperlink>
            <w:r w:rsidR="004D2D6D">
              <w:rPr>
                <w:rStyle w:val="Refdenotaalpie"/>
                <w:rFonts w:asciiTheme="minorHAnsi" w:hAnsiTheme="minorHAnsi"/>
                <w:color w:val="000000"/>
              </w:rPr>
              <w:footnoteReference w:id="40"/>
            </w:r>
          </w:p>
        </w:tc>
      </w:tr>
      <w:tr w:rsidR="00605D8E" w14:paraId="46017E52" w14:textId="77777777" w:rsidTr="00D96A30">
        <w:trPr>
          <w:trHeight w:val="20"/>
          <w:jc w:val="center"/>
        </w:trPr>
        <w:tc>
          <w:tcPr>
            <w:tcW w:w="0" w:type="auto"/>
            <w:tcMar>
              <w:top w:w="0" w:type="dxa"/>
              <w:left w:w="108" w:type="dxa"/>
              <w:bottom w:w="0" w:type="dxa"/>
              <w:right w:w="108" w:type="dxa"/>
            </w:tcMar>
            <w:vAlign w:val="center"/>
          </w:tcPr>
          <w:p w14:paraId="1FC9E95D" w14:textId="432BC5D5" w:rsidR="00605D8E" w:rsidRDefault="00605D8E" w:rsidP="00243257">
            <w:r>
              <w:t>04/11/2022</w:t>
            </w:r>
          </w:p>
        </w:tc>
        <w:tc>
          <w:tcPr>
            <w:tcW w:w="8328" w:type="dxa"/>
            <w:tcMar>
              <w:top w:w="0" w:type="dxa"/>
              <w:left w:w="108" w:type="dxa"/>
              <w:bottom w:w="0" w:type="dxa"/>
              <w:right w:w="108" w:type="dxa"/>
            </w:tcMar>
            <w:vAlign w:val="center"/>
          </w:tcPr>
          <w:p w14:paraId="200A4B8F" w14:textId="492476CD" w:rsidR="00605D8E" w:rsidRPr="00605D8E" w:rsidRDefault="0017543F" w:rsidP="00C75F9C">
            <w:pPr>
              <w:spacing w:after="0"/>
              <w:rPr>
                <w:rFonts w:asciiTheme="minorHAnsi" w:hAnsiTheme="minorHAnsi" w:cstheme="minorHAnsi"/>
                <w:b/>
                <w:color w:val="333333"/>
              </w:rPr>
            </w:pPr>
            <w:hyperlink r:id="rId54" w:history="1">
              <w:r w:rsidR="00605D8E" w:rsidRPr="00243257">
                <w:rPr>
                  <w:rStyle w:val="Hipervnculo"/>
                  <w:rFonts w:asciiTheme="minorHAnsi" w:hAnsiTheme="minorHAnsi" w:cstheme="minorHAnsi"/>
                </w:rPr>
                <w:t>O impacto paisaxístico “crítico” e “irreversible” tomba o segundo parque eólico previsto na serra da Groba</w:t>
              </w:r>
            </w:hyperlink>
            <w:r w:rsidR="00605D8E">
              <w:rPr>
                <w:rStyle w:val="Refdenotaalpie"/>
                <w:rFonts w:asciiTheme="minorHAnsi" w:hAnsiTheme="minorHAnsi"/>
                <w:b/>
                <w:color w:val="333333"/>
              </w:rPr>
              <w:footnoteReference w:id="41"/>
            </w:r>
          </w:p>
        </w:tc>
      </w:tr>
      <w:tr w:rsidR="004D2D6D" w14:paraId="0361DE49" w14:textId="77777777" w:rsidTr="00D96A30">
        <w:trPr>
          <w:trHeight w:val="20"/>
          <w:jc w:val="center"/>
        </w:trPr>
        <w:tc>
          <w:tcPr>
            <w:tcW w:w="0" w:type="auto"/>
            <w:tcMar>
              <w:top w:w="0" w:type="dxa"/>
              <w:left w:w="108" w:type="dxa"/>
              <w:bottom w:w="0" w:type="dxa"/>
              <w:right w:w="108" w:type="dxa"/>
            </w:tcMar>
            <w:vAlign w:val="center"/>
          </w:tcPr>
          <w:p w14:paraId="72CBACC1" w14:textId="5C993D55" w:rsidR="004D2D6D" w:rsidRDefault="004D2D6D" w:rsidP="008B4C1D">
            <w:pPr>
              <w:spacing w:after="0" w:line="240" w:lineRule="auto"/>
            </w:pPr>
            <w:r>
              <w:t>05/11/2022</w:t>
            </w:r>
          </w:p>
        </w:tc>
        <w:tc>
          <w:tcPr>
            <w:tcW w:w="8328" w:type="dxa"/>
            <w:tcMar>
              <w:top w:w="0" w:type="dxa"/>
              <w:left w:w="108" w:type="dxa"/>
              <w:bottom w:w="0" w:type="dxa"/>
              <w:right w:w="108" w:type="dxa"/>
            </w:tcMar>
            <w:vAlign w:val="center"/>
          </w:tcPr>
          <w:p w14:paraId="0AAF5523" w14:textId="40552E82" w:rsidR="004D2D6D" w:rsidRPr="004D2D6D" w:rsidRDefault="0017543F" w:rsidP="00C75F9C">
            <w:pPr>
              <w:spacing w:after="0"/>
            </w:pPr>
            <w:hyperlink r:id="rId55" w:history="1">
              <w:r w:rsidR="004D2D6D" w:rsidRPr="004D2D6D">
                <w:rPr>
                  <w:rStyle w:val="Hipervnculo"/>
                </w:rPr>
                <w:t>Freno a otro parque eólico en la Serra da Groba por su impacto ambiental crítico e irreversible.</w:t>
              </w:r>
            </w:hyperlink>
            <w:r w:rsidR="004D2D6D">
              <w:rPr>
                <w:rStyle w:val="Refdenotaalpie"/>
              </w:rPr>
              <w:footnoteReference w:id="42"/>
            </w:r>
          </w:p>
        </w:tc>
      </w:tr>
      <w:tr w:rsidR="00330FBF" w14:paraId="7E0B836C" w14:textId="77777777" w:rsidTr="00D96A30">
        <w:trPr>
          <w:trHeight w:val="20"/>
          <w:jc w:val="center"/>
        </w:trPr>
        <w:tc>
          <w:tcPr>
            <w:tcW w:w="0" w:type="auto"/>
            <w:tcMar>
              <w:top w:w="0" w:type="dxa"/>
              <w:left w:w="108" w:type="dxa"/>
              <w:bottom w:w="0" w:type="dxa"/>
              <w:right w:w="108" w:type="dxa"/>
            </w:tcMar>
            <w:vAlign w:val="center"/>
          </w:tcPr>
          <w:p w14:paraId="6A4FA74F" w14:textId="1ABDB49B" w:rsidR="00330FBF" w:rsidRDefault="00330FBF" w:rsidP="008B4C1D">
            <w:pPr>
              <w:spacing w:after="0" w:line="240" w:lineRule="auto"/>
            </w:pPr>
            <w:r>
              <w:t>16/01/2023</w:t>
            </w:r>
          </w:p>
        </w:tc>
        <w:tc>
          <w:tcPr>
            <w:tcW w:w="8328" w:type="dxa"/>
            <w:tcMar>
              <w:top w:w="0" w:type="dxa"/>
              <w:left w:w="108" w:type="dxa"/>
              <w:bottom w:w="0" w:type="dxa"/>
              <w:right w:w="108" w:type="dxa"/>
            </w:tcMar>
            <w:vAlign w:val="center"/>
          </w:tcPr>
          <w:p w14:paraId="0CD26223" w14:textId="571E0501" w:rsidR="00C75F9C" w:rsidRPr="002553BA" w:rsidRDefault="0017543F" w:rsidP="002553BA">
            <w:pPr>
              <w:spacing w:before="120" w:after="0" w:line="240" w:lineRule="auto"/>
              <w:jc w:val="both"/>
              <w:rPr>
                <w:rFonts w:asciiTheme="minorHAnsi" w:hAnsiTheme="minorHAnsi" w:cstheme="minorHAnsi"/>
                <w:sz w:val="24"/>
                <w:szCs w:val="24"/>
                <w:lang w:val="gl-ES"/>
              </w:rPr>
            </w:pPr>
            <w:hyperlink r:id="rId56" w:history="1">
              <w:r w:rsidR="002553BA" w:rsidRPr="002553BA">
                <w:rPr>
                  <w:rStyle w:val="Hipervnculo"/>
                  <w:rFonts w:asciiTheme="minorHAnsi" w:hAnsiTheme="minorHAnsi" w:cstheme="minorHAnsi"/>
                </w:rPr>
                <w:t>Ofensiva de alegaciones contra el parque eólico Toroña.</w:t>
              </w:r>
            </w:hyperlink>
            <w:r w:rsidR="00330FBF">
              <w:rPr>
                <w:rStyle w:val="Refdenotaalpie"/>
                <w:rFonts w:asciiTheme="minorHAnsi" w:hAnsiTheme="minorHAnsi"/>
                <w:b/>
                <w:color w:val="191C30"/>
              </w:rPr>
              <w:footnoteReference w:id="43"/>
            </w:r>
          </w:p>
        </w:tc>
      </w:tr>
      <w:tr w:rsidR="00330FBF" w14:paraId="3FCFBE8D" w14:textId="77777777" w:rsidTr="00D96A30">
        <w:trPr>
          <w:trHeight w:val="20"/>
          <w:jc w:val="center"/>
        </w:trPr>
        <w:tc>
          <w:tcPr>
            <w:tcW w:w="0" w:type="auto"/>
            <w:tcMar>
              <w:top w:w="0" w:type="dxa"/>
              <w:left w:w="108" w:type="dxa"/>
              <w:bottom w:w="0" w:type="dxa"/>
              <w:right w:w="108" w:type="dxa"/>
            </w:tcMar>
            <w:vAlign w:val="center"/>
          </w:tcPr>
          <w:p w14:paraId="4297E23D" w14:textId="4F59A0A7" w:rsidR="00330FBF" w:rsidRDefault="00330FBF" w:rsidP="008B4C1D">
            <w:pPr>
              <w:spacing w:after="0" w:line="240" w:lineRule="auto"/>
            </w:pPr>
            <w:r>
              <w:t>29/01/2023</w:t>
            </w:r>
          </w:p>
        </w:tc>
        <w:tc>
          <w:tcPr>
            <w:tcW w:w="8328" w:type="dxa"/>
            <w:tcMar>
              <w:top w:w="0" w:type="dxa"/>
              <w:left w:w="108" w:type="dxa"/>
              <w:bottom w:w="0" w:type="dxa"/>
              <w:right w:w="108" w:type="dxa"/>
            </w:tcMar>
            <w:vAlign w:val="center"/>
          </w:tcPr>
          <w:p w14:paraId="57CF1E71" w14:textId="6D6C5A44" w:rsidR="00330FBF" w:rsidRPr="00330FBF" w:rsidRDefault="0017543F" w:rsidP="00C75F9C">
            <w:pPr>
              <w:spacing w:after="0" w:line="240" w:lineRule="auto"/>
              <w:rPr>
                <w:color w:val="000000" w:themeColor="text1"/>
              </w:rPr>
            </w:pPr>
            <w:hyperlink r:id="rId57" w:history="1">
              <w:r w:rsidR="00330FBF" w:rsidRPr="00330FBF">
                <w:rPr>
                  <w:rStyle w:val="Hipervnculo"/>
                </w:rPr>
                <w:t>Los parques eólicos se alejan del área de Vigo: habrá uno en Arbo y dos en A Cañiza</w:t>
              </w:r>
            </w:hyperlink>
            <w:r w:rsidR="00330FBF">
              <w:rPr>
                <w:color w:val="000000" w:themeColor="text1"/>
              </w:rPr>
              <w:t>.</w:t>
            </w:r>
            <w:r w:rsidR="00330FBF">
              <w:rPr>
                <w:rStyle w:val="Refdenotaalpie"/>
                <w:color w:val="000000" w:themeColor="text1"/>
              </w:rPr>
              <w:footnoteReference w:id="44"/>
            </w:r>
          </w:p>
        </w:tc>
      </w:tr>
      <w:tr w:rsidR="00C75F9C" w14:paraId="02EA69DE" w14:textId="77777777" w:rsidTr="00D96A30">
        <w:trPr>
          <w:trHeight w:val="20"/>
          <w:jc w:val="center"/>
        </w:trPr>
        <w:tc>
          <w:tcPr>
            <w:tcW w:w="0" w:type="auto"/>
            <w:tcMar>
              <w:top w:w="0" w:type="dxa"/>
              <w:left w:w="108" w:type="dxa"/>
              <w:bottom w:w="0" w:type="dxa"/>
              <w:right w:w="108" w:type="dxa"/>
            </w:tcMar>
            <w:vAlign w:val="center"/>
          </w:tcPr>
          <w:p w14:paraId="5F2C8D7F" w14:textId="75EC2D02" w:rsidR="00C75F9C" w:rsidRDefault="00C75F9C" w:rsidP="008B4C1D">
            <w:pPr>
              <w:spacing w:after="0" w:line="240" w:lineRule="auto"/>
            </w:pPr>
            <w:r>
              <w:t>18/03/2023</w:t>
            </w:r>
          </w:p>
        </w:tc>
        <w:tc>
          <w:tcPr>
            <w:tcW w:w="8328" w:type="dxa"/>
            <w:tcMar>
              <w:top w:w="0" w:type="dxa"/>
              <w:left w:w="108" w:type="dxa"/>
              <w:bottom w:w="0" w:type="dxa"/>
              <w:right w:w="108" w:type="dxa"/>
            </w:tcMar>
            <w:vAlign w:val="center"/>
          </w:tcPr>
          <w:p w14:paraId="4B3D1F66" w14:textId="7C7C411F" w:rsidR="00C75F9C" w:rsidRPr="00C75F9C" w:rsidRDefault="0017543F" w:rsidP="00C75F9C">
            <w:hyperlink r:id="rId58" w:history="1">
              <w:r w:rsidR="002553BA" w:rsidRPr="002553BA">
                <w:rPr>
                  <w:rStyle w:val="Hipervnculo"/>
                </w:rPr>
                <w:t>Destruíndo o Patrimonio: as agresións ó Patrimonio cos parques eólicos na Groba.</w:t>
              </w:r>
            </w:hyperlink>
            <w:r w:rsidR="00C75F9C">
              <w:rPr>
                <w:rStyle w:val="Refdenotaalpie"/>
              </w:rPr>
              <w:footnoteReference w:id="45"/>
            </w:r>
          </w:p>
        </w:tc>
      </w:tr>
    </w:tbl>
    <w:p w14:paraId="4C9E3C45" w14:textId="6A6B262F" w:rsidR="00E42AE6" w:rsidRPr="009B1BBF" w:rsidRDefault="00E42AE6" w:rsidP="00246A53">
      <w:pPr>
        <w:pStyle w:val="Default"/>
        <w:numPr>
          <w:ilvl w:val="0"/>
          <w:numId w:val="11"/>
        </w:numPr>
        <w:shd w:val="clear" w:color="auto" w:fill="C6D9F1"/>
        <w:spacing w:before="120"/>
        <w:ind w:left="1843" w:hanging="1843"/>
        <w:jc w:val="both"/>
        <w:outlineLvl w:val="0"/>
        <w:rPr>
          <w:rFonts w:ascii="Calibri" w:hAnsi="Calibri" w:cs="Calibri"/>
          <w:b/>
          <w:bCs/>
        </w:rPr>
      </w:pPr>
      <w:bookmarkStart w:id="45" w:name="_Toc132510948"/>
      <w:r>
        <w:rPr>
          <w:rFonts w:ascii="Calibri" w:hAnsi="Calibri" w:cs="Calibri"/>
          <w:b/>
          <w:bCs/>
        </w:rPr>
        <w:t>Vulneración dos dereitos de participación p</w:t>
      </w:r>
      <w:r w:rsidR="004C4B07">
        <w:rPr>
          <w:rFonts w:ascii="Calibri" w:hAnsi="Calibri" w:cs="Calibri"/>
          <w:b/>
          <w:bCs/>
        </w:rPr>
        <w:t>ú</w:t>
      </w:r>
      <w:r>
        <w:rPr>
          <w:rFonts w:ascii="Calibri" w:hAnsi="Calibri" w:cs="Calibri"/>
          <w:b/>
          <w:bCs/>
        </w:rPr>
        <w:t>blica en materia de medio ambiente.</w:t>
      </w:r>
      <w:bookmarkEnd w:id="45"/>
    </w:p>
    <w:p w14:paraId="447BF220" w14:textId="2CD5647F" w:rsidR="00E42AE6" w:rsidRPr="00E42AE6" w:rsidRDefault="00C75F9C" w:rsidP="004C4B07">
      <w:pPr>
        <w:spacing w:before="120" w:after="0" w:line="240" w:lineRule="auto"/>
        <w:jc w:val="both"/>
        <w:rPr>
          <w:rFonts w:asciiTheme="minorHAnsi" w:hAnsiTheme="minorHAnsi" w:cstheme="minorHAnsi"/>
          <w:sz w:val="24"/>
          <w:szCs w:val="24"/>
          <w:lang w:val="gl-ES"/>
        </w:rPr>
      </w:pPr>
      <w:r>
        <w:rPr>
          <w:rFonts w:asciiTheme="minorHAnsi" w:hAnsiTheme="minorHAnsi" w:cstheme="minorHAnsi"/>
          <w:sz w:val="24"/>
          <w:szCs w:val="24"/>
          <w:lang w:val="gl-ES"/>
        </w:rPr>
        <w:t>D</w:t>
      </w:r>
      <w:r w:rsidR="00E42AE6" w:rsidRPr="00E42AE6">
        <w:rPr>
          <w:rFonts w:asciiTheme="minorHAnsi" w:hAnsiTheme="minorHAnsi" w:cstheme="minorHAnsi"/>
          <w:sz w:val="24"/>
          <w:szCs w:val="24"/>
          <w:lang w:val="gl-ES"/>
        </w:rPr>
        <w:t>urante o presente procedemento a Administración ven incumprindo de xeito sistemático os dereitos de participación e acceso á información en materia de medio ambiente que sustenta a Le</w:t>
      </w:r>
      <w:r w:rsidR="004C4B07">
        <w:rPr>
          <w:rFonts w:asciiTheme="minorHAnsi" w:hAnsiTheme="minorHAnsi" w:cstheme="minorHAnsi"/>
          <w:sz w:val="24"/>
          <w:szCs w:val="24"/>
          <w:lang w:val="gl-ES"/>
        </w:rPr>
        <w:t>i</w:t>
      </w:r>
      <w:r w:rsidR="00E42AE6" w:rsidRPr="00E42AE6">
        <w:rPr>
          <w:rFonts w:asciiTheme="minorHAnsi" w:hAnsiTheme="minorHAnsi" w:cstheme="minorHAnsi"/>
          <w:sz w:val="24"/>
          <w:szCs w:val="24"/>
          <w:lang w:val="gl-ES"/>
        </w:rPr>
        <w:t xml:space="preserve"> 27/2006, de 18 de </w:t>
      </w:r>
      <w:r w:rsidR="004C4B07">
        <w:rPr>
          <w:rFonts w:asciiTheme="minorHAnsi" w:hAnsiTheme="minorHAnsi" w:cstheme="minorHAnsi"/>
          <w:sz w:val="24"/>
          <w:szCs w:val="24"/>
          <w:lang w:val="gl-ES"/>
        </w:rPr>
        <w:t>xullo</w:t>
      </w:r>
      <w:r w:rsidR="00E42AE6" w:rsidRPr="00E42AE6">
        <w:rPr>
          <w:rFonts w:asciiTheme="minorHAnsi" w:hAnsiTheme="minorHAnsi" w:cstheme="minorHAnsi"/>
          <w:sz w:val="24"/>
          <w:szCs w:val="24"/>
          <w:lang w:val="gl-ES"/>
        </w:rPr>
        <w:t>, pola que se regulan os dere</w:t>
      </w:r>
      <w:r w:rsidR="00E42AE6">
        <w:rPr>
          <w:rFonts w:asciiTheme="minorHAnsi" w:hAnsiTheme="minorHAnsi" w:cstheme="minorHAnsi"/>
          <w:sz w:val="24"/>
          <w:szCs w:val="24"/>
          <w:lang w:val="gl-ES"/>
        </w:rPr>
        <w:t>itos</w:t>
      </w:r>
      <w:r w:rsidR="00E42AE6" w:rsidRPr="00E42AE6">
        <w:rPr>
          <w:rFonts w:asciiTheme="minorHAnsi" w:hAnsiTheme="minorHAnsi" w:cstheme="minorHAnsi"/>
          <w:sz w:val="24"/>
          <w:szCs w:val="24"/>
          <w:lang w:val="gl-ES"/>
        </w:rPr>
        <w:t xml:space="preserve"> de acceso </w:t>
      </w:r>
      <w:r w:rsidR="00E42AE6">
        <w:rPr>
          <w:rFonts w:asciiTheme="minorHAnsi" w:hAnsiTheme="minorHAnsi" w:cstheme="minorHAnsi"/>
          <w:sz w:val="24"/>
          <w:szCs w:val="24"/>
          <w:lang w:val="gl-ES"/>
        </w:rPr>
        <w:t>á</w:t>
      </w:r>
      <w:r w:rsidR="00E42AE6" w:rsidRPr="00E42AE6">
        <w:rPr>
          <w:rFonts w:asciiTheme="minorHAnsi" w:hAnsiTheme="minorHAnsi" w:cstheme="minorHAnsi"/>
          <w:sz w:val="24"/>
          <w:szCs w:val="24"/>
          <w:lang w:val="gl-ES"/>
        </w:rPr>
        <w:t xml:space="preserve"> información, de participación pública </w:t>
      </w:r>
      <w:r w:rsidR="00E42AE6">
        <w:rPr>
          <w:rFonts w:asciiTheme="minorHAnsi" w:hAnsiTheme="minorHAnsi" w:cstheme="minorHAnsi"/>
          <w:sz w:val="24"/>
          <w:szCs w:val="24"/>
          <w:lang w:val="gl-ES"/>
        </w:rPr>
        <w:t>e</w:t>
      </w:r>
      <w:r w:rsidR="00E42AE6" w:rsidRPr="00E42AE6">
        <w:rPr>
          <w:rFonts w:asciiTheme="minorHAnsi" w:hAnsiTheme="minorHAnsi" w:cstheme="minorHAnsi"/>
          <w:sz w:val="24"/>
          <w:szCs w:val="24"/>
          <w:lang w:val="gl-ES"/>
        </w:rPr>
        <w:t xml:space="preserve"> de acceso </w:t>
      </w:r>
      <w:r w:rsidR="00E42AE6">
        <w:rPr>
          <w:rFonts w:asciiTheme="minorHAnsi" w:hAnsiTheme="minorHAnsi" w:cstheme="minorHAnsi"/>
          <w:sz w:val="24"/>
          <w:szCs w:val="24"/>
          <w:lang w:val="gl-ES"/>
        </w:rPr>
        <w:t>á</w:t>
      </w:r>
      <w:r w:rsidR="00E42AE6" w:rsidRPr="00E42AE6">
        <w:rPr>
          <w:rFonts w:asciiTheme="minorHAnsi" w:hAnsiTheme="minorHAnsi" w:cstheme="minorHAnsi"/>
          <w:sz w:val="24"/>
          <w:szCs w:val="24"/>
          <w:lang w:val="gl-ES"/>
        </w:rPr>
        <w:t xml:space="preserve"> </w:t>
      </w:r>
      <w:r w:rsidR="00E42AE6">
        <w:rPr>
          <w:rFonts w:asciiTheme="minorHAnsi" w:hAnsiTheme="minorHAnsi" w:cstheme="minorHAnsi"/>
          <w:sz w:val="24"/>
          <w:szCs w:val="24"/>
          <w:lang w:val="gl-ES"/>
        </w:rPr>
        <w:t>x</w:t>
      </w:r>
      <w:r w:rsidR="00E42AE6" w:rsidRPr="00E42AE6">
        <w:rPr>
          <w:rFonts w:asciiTheme="minorHAnsi" w:hAnsiTheme="minorHAnsi" w:cstheme="minorHAnsi"/>
          <w:sz w:val="24"/>
          <w:szCs w:val="24"/>
          <w:lang w:val="gl-ES"/>
        </w:rPr>
        <w:t>usti</w:t>
      </w:r>
      <w:r w:rsidR="00E42AE6">
        <w:rPr>
          <w:rFonts w:asciiTheme="minorHAnsi" w:hAnsiTheme="minorHAnsi" w:cstheme="minorHAnsi"/>
          <w:sz w:val="24"/>
          <w:szCs w:val="24"/>
          <w:lang w:val="gl-ES"/>
        </w:rPr>
        <w:t>za</w:t>
      </w:r>
      <w:r w:rsidR="00E42AE6" w:rsidRPr="00E42AE6">
        <w:rPr>
          <w:rFonts w:asciiTheme="minorHAnsi" w:hAnsiTheme="minorHAnsi" w:cstheme="minorHAnsi"/>
          <w:sz w:val="24"/>
          <w:szCs w:val="24"/>
          <w:lang w:val="gl-ES"/>
        </w:rPr>
        <w:t xml:space="preserve"> en materia de medio ambiente (incorpora as Directivas 2003/4/CE y 2003/35/CE), así como a Convención de Aarhus.</w:t>
      </w:r>
    </w:p>
    <w:p w14:paraId="60E9DA62" w14:textId="5112C565" w:rsidR="00E42AE6" w:rsidRDefault="00E42AE6" w:rsidP="004C4B07">
      <w:pPr>
        <w:spacing w:before="120" w:after="0" w:line="240" w:lineRule="auto"/>
        <w:jc w:val="both"/>
        <w:rPr>
          <w:rFonts w:asciiTheme="minorHAnsi" w:hAnsiTheme="minorHAnsi" w:cstheme="minorHAnsi"/>
          <w:sz w:val="24"/>
          <w:szCs w:val="24"/>
          <w:lang w:val="gl-ES"/>
        </w:rPr>
      </w:pPr>
      <w:r>
        <w:rPr>
          <w:rFonts w:asciiTheme="minorHAnsi" w:hAnsiTheme="minorHAnsi" w:cstheme="minorHAnsi"/>
          <w:sz w:val="24"/>
          <w:szCs w:val="24"/>
          <w:lang w:val="gl-ES"/>
        </w:rPr>
        <w:t>O</w:t>
      </w:r>
      <w:r w:rsidRPr="00E42AE6">
        <w:rPr>
          <w:rFonts w:asciiTheme="minorHAnsi" w:hAnsiTheme="minorHAnsi" w:cstheme="minorHAnsi"/>
          <w:sz w:val="24"/>
          <w:szCs w:val="24"/>
          <w:lang w:val="gl-ES"/>
        </w:rPr>
        <w:t xml:space="preserve"> </w:t>
      </w:r>
      <w:r>
        <w:rPr>
          <w:rFonts w:asciiTheme="minorHAnsi" w:hAnsiTheme="minorHAnsi" w:cstheme="minorHAnsi"/>
          <w:sz w:val="24"/>
          <w:szCs w:val="24"/>
          <w:lang w:val="gl-ES"/>
        </w:rPr>
        <w:t>09</w:t>
      </w:r>
      <w:r w:rsidRPr="00E42AE6">
        <w:rPr>
          <w:rFonts w:asciiTheme="minorHAnsi" w:hAnsiTheme="minorHAnsi" w:cstheme="minorHAnsi"/>
          <w:sz w:val="24"/>
          <w:szCs w:val="24"/>
          <w:lang w:val="gl-ES"/>
        </w:rPr>
        <w:t>/</w:t>
      </w:r>
      <w:r>
        <w:rPr>
          <w:rFonts w:asciiTheme="minorHAnsi" w:hAnsiTheme="minorHAnsi" w:cstheme="minorHAnsi"/>
          <w:sz w:val="24"/>
          <w:szCs w:val="24"/>
          <w:lang w:val="gl-ES"/>
        </w:rPr>
        <w:t>12</w:t>
      </w:r>
      <w:r w:rsidRPr="00E42AE6">
        <w:rPr>
          <w:rFonts w:asciiTheme="minorHAnsi" w:hAnsiTheme="minorHAnsi" w:cstheme="minorHAnsi"/>
          <w:sz w:val="24"/>
          <w:szCs w:val="24"/>
          <w:lang w:val="gl-ES"/>
        </w:rPr>
        <w:t xml:space="preserve">/2020 </w:t>
      </w:r>
      <w:r w:rsidR="004C4B07">
        <w:rPr>
          <w:rFonts w:asciiTheme="minorHAnsi" w:hAnsiTheme="minorHAnsi" w:cstheme="minorHAnsi"/>
          <w:sz w:val="24"/>
          <w:szCs w:val="24"/>
          <w:lang w:val="gl-ES"/>
        </w:rPr>
        <w:t xml:space="preserve">o </w:t>
      </w:r>
      <w:hyperlink r:id="rId59" w:history="1">
        <w:r w:rsidR="00BF39A4" w:rsidRPr="001F7EA2">
          <w:rPr>
            <w:rStyle w:val="Hipervnculo"/>
            <w:rFonts w:asciiTheme="minorHAnsi" w:hAnsiTheme="minorHAnsi" w:cstheme="minorHAnsi"/>
            <w:sz w:val="24"/>
            <w:szCs w:val="24"/>
            <w:lang w:val="gl-ES"/>
          </w:rPr>
          <w:t>Instituto de E</w:t>
        </w:r>
        <w:r w:rsidRPr="001F7EA2">
          <w:rPr>
            <w:rStyle w:val="Hipervnculo"/>
            <w:rFonts w:asciiTheme="minorHAnsi" w:hAnsiTheme="minorHAnsi" w:cstheme="minorHAnsi"/>
            <w:sz w:val="24"/>
            <w:szCs w:val="24"/>
            <w:lang w:val="gl-ES"/>
          </w:rPr>
          <w:t>studos Miñoranos</w:t>
        </w:r>
      </w:hyperlink>
      <w:r w:rsidR="001F7EA2">
        <w:rPr>
          <w:rStyle w:val="Refdenotaalpie"/>
          <w:rFonts w:asciiTheme="minorHAnsi" w:hAnsiTheme="minorHAnsi"/>
          <w:sz w:val="24"/>
          <w:szCs w:val="24"/>
          <w:lang w:val="gl-ES"/>
        </w:rPr>
        <w:footnoteReference w:id="46"/>
      </w:r>
      <w:r>
        <w:rPr>
          <w:rFonts w:asciiTheme="minorHAnsi" w:hAnsiTheme="minorHAnsi" w:cstheme="minorHAnsi"/>
          <w:sz w:val="24"/>
          <w:szCs w:val="24"/>
          <w:lang w:val="gl-ES"/>
        </w:rPr>
        <w:t xml:space="preserve"> (IEM), </w:t>
      </w:r>
      <w:r w:rsidR="004C4B07">
        <w:rPr>
          <w:rFonts w:asciiTheme="minorHAnsi" w:hAnsiTheme="minorHAnsi" w:cstheme="minorHAnsi"/>
          <w:sz w:val="24"/>
          <w:szCs w:val="24"/>
          <w:lang w:val="gl-ES"/>
        </w:rPr>
        <w:t xml:space="preserve">solicitou </w:t>
      </w:r>
      <w:r>
        <w:rPr>
          <w:rFonts w:asciiTheme="minorHAnsi" w:hAnsiTheme="minorHAnsi" w:cstheme="minorHAnsi"/>
          <w:sz w:val="24"/>
          <w:szCs w:val="24"/>
          <w:lang w:val="gl-ES"/>
        </w:rPr>
        <w:t xml:space="preserve">co nº de </w:t>
      </w:r>
      <w:r w:rsidR="00BF39A4">
        <w:rPr>
          <w:rFonts w:asciiTheme="minorHAnsi" w:hAnsiTheme="minorHAnsi" w:cstheme="minorHAnsi"/>
          <w:sz w:val="24"/>
          <w:szCs w:val="24"/>
          <w:lang w:val="gl-ES"/>
        </w:rPr>
        <w:t>solicitude 03882603 á Dirección Xeral de Planificación Enerxética e  Recursos Naturais da Xunta de Galicia a</w:t>
      </w:r>
      <w:r>
        <w:rPr>
          <w:rFonts w:ascii="ArialMT" w:eastAsia="ArialMT" w:cs="ArialMT"/>
          <w:sz w:val="18"/>
          <w:szCs w:val="18"/>
          <w:lang w:eastAsia="es-ES"/>
        </w:rPr>
        <w:t xml:space="preserve"> </w:t>
      </w:r>
      <w:r>
        <w:rPr>
          <w:rFonts w:asciiTheme="minorHAnsi" w:hAnsiTheme="minorHAnsi" w:cstheme="minorHAnsi"/>
          <w:sz w:val="24"/>
          <w:szCs w:val="24"/>
          <w:lang w:val="gl-ES"/>
        </w:rPr>
        <w:t>seguinte información:</w:t>
      </w:r>
    </w:p>
    <w:p w14:paraId="4BCA4843" w14:textId="77777777" w:rsidR="004C4B07" w:rsidRDefault="004C4B07" w:rsidP="004C4B07">
      <w:pPr>
        <w:spacing w:before="120" w:after="0" w:line="240" w:lineRule="auto"/>
        <w:jc w:val="both"/>
        <w:rPr>
          <w:rFonts w:asciiTheme="minorHAnsi" w:hAnsiTheme="minorHAnsi" w:cstheme="minorHAnsi"/>
          <w:sz w:val="24"/>
          <w:szCs w:val="24"/>
          <w:lang w:val="gl-ES"/>
        </w:rPr>
      </w:pPr>
    </w:p>
    <w:p w14:paraId="7166C8AA" w14:textId="46A1A8D6" w:rsidR="00E42AE6" w:rsidRPr="000121F1" w:rsidRDefault="00E42AE6" w:rsidP="00BF39A4">
      <w:pPr>
        <w:ind w:left="708"/>
        <w:jc w:val="both"/>
        <w:rPr>
          <w:rFonts w:asciiTheme="minorHAnsi" w:hAnsiTheme="minorHAnsi" w:cstheme="minorHAnsi"/>
          <w:sz w:val="20"/>
          <w:szCs w:val="20"/>
          <w:lang w:eastAsia="es-ES"/>
        </w:rPr>
      </w:pPr>
      <w:r w:rsidRPr="000121F1">
        <w:rPr>
          <w:rFonts w:asciiTheme="minorHAnsi" w:hAnsiTheme="minorHAnsi" w:cstheme="minorHAnsi"/>
          <w:sz w:val="20"/>
          <w:szCs w:val="20"/>
          <w:lang w:eastAsia="es-ES"/>
        </w:rPr>
        <w:t>Copia dos expedientes correspondentes aos parques eólicos que se enumeran a continuación ou de ser o caso revisión presencial dos mesmos.</w:t>
      </w:r>
    </w:p>
    <w:p w14:paraId="3357B403" w14:textId="45C17137" w:rsidR="00E42AE6" w:rsidRPr="000121F1" w:rsidRDefault="00E42AE6" w:rsidP="00DB4E9A">
      <w:pPr>
        <w:autoSpaceDE w:val="0"/>
        <w:autoSpaceDN w:val="0"/>
        <w:adjustRightInd w:val="0"/>
        <w:spacing w:after="0" w:line="240" w:lineRule="auto"/>
        <w:ind w:left="708"/>
        <w:rPr>
          <w:rFonts w:asciiTheme="minorHAnsi" w:hAnsiTheme="minorHAnsi" w:cstheme="minorHAnsi"/>
          <w:sz w:val="20"/>
          <w:szCs w:val="20"/>
          <w:lang w:eastAsia="es-ES"/>
        </w:rPr>
      </w:pPr>
      <w:r w:rsidRPr="000121F1">
        <w:rPr>
          <w:rFonts w:asciiTheme="minorHAnsi" w:hAnsiTheme="minorHAnsi" w:cstheme="minorHAnsi"/>
          <w:sz w:val="20"/>
          <w:szCs w:val="20"/>
          <w:lang w:eastAsia="es-ES"/>
        </w:rPr>
        <w:t>237. TOROÑA</w:t>
      </w:r>
      <w:r w:rsidR="00DB4E9A" w:rsidRPr="000121F1">
        <w:rPr>
          <w:rFonts w:asciiTheme="minorHAnsi" w:hAnsiTheme="minorHAnsi" w:cstheme="minorHAnsi"/>
          <w:sz w:val="20"/>
          <w:szCs w:val="20"/>
          <w:lang w:eastAsia="es-ES"/>
        </w:rPr>
        <w:t xml:space="preserve">, </w:t>
      </w:r>
      <w:r w:rsidRPr="000121F1">
        <w:rPr>
          <w:rFonts w:asciiTheme="minorHAnsi" w:hAnsiTheme="minorHAnsi" w:cstheme="minorHAnsi"/>
          <w:sz w:val="20"/>
          <w:szCs w:val="20"/>
          <w:lang w:eastAsia="es-ES"/>
        </w:rPr>
        <w:t>226. TORROÑA III</w:t>
      </w:r>
      <w:r w:rsidR="00DB4E9A" w:rsidRPr="000121F1">
        <w:rPr>
          <w:rFonts w:asciiTheme="minorHAnsi" w:hAnsiTheme="minorHAnsi" w:cstheme="minorHAnsi"/>
          <w:sz w:val="20"/>
          <w:szCs w:val="20"/>
          <w:lang w:eastAsia="es-ES"/>
        </w:rPr>
        <w:t xml:space="preserve">, </w:t>
      </w:r>
      <w:r w:rsidRPr="000121F1">
        <w:rPr>
          <w:rFonts w:asciiTheme="minorHAnsi" w:hAnsiTheme="minorHAnsi" w:cstheme="minorHAnsi"/>
          <w:sz w:val="20"/>
          <w:szCs w:val="20"/>
          <w:lang w:eastAsia="es-ES"/>
        </w:rPr>
        <w:t>ALBARIÑO I</w:t>
      </w:r>
      <w:r w:rsidR="00DB4E9A" w:rsidRPr="000121F1">
        <w:rPr>
          <w:rFonts w:asciiTheme="minorHAnsi" w:hAnsiTheme="minorHAnsi" w:cstheme="minorHAnsi"/>
          <w:sz w:val="20"/>
          <w:szCs w:val="20"/>
          <w:lang w:eastAsia="es-ES"/>
        </w:rPr>
        <w:t xml:space="preserve">, </w:t>
      </w:r>
      <w:r w:rsidRPr="000121F1">
        <w:rPr>
          <w:rFonts w:asciiTheme="minorHAnsi" w:hAnsiTheme="minorHAnsi" w:cstheme="minorHAnsi"/>
          <w:sz w:val="20"/>
          <w:szCs w:val="20"/>
          <w:lang w:eastAsia="es-ES"/>
        </w:rPr>
        <w:t>199. TORROÑA I</w:t>
      </w:r>
      <w:r w:rsidR="00DB4E9A" w:rsidRPr="000121F1">
        <w:rPr>
          <w:rFonts w:asciiTheme="minorHAnsi" w:hAnsiTheme="minorHAnsi" w:cstheme="minorHAnsi"/>
          <w:sz w:val="20"/>
          <w:szCs w:val="20"/>
          <w:lang w:eastAsia="es-ES"/>
        </w:rPr>
        <w:t xml:space="preserve">, </w:t>
      </w:r>
      <w:r w:rsidRPr="000121F1">
        <w:rPr>
          <w:rFonts w:asciiTheme="minorHAnsi" w:hAnsiTheme="minorHAnsi" w:cstheme="minorHAnsi"/>
          <w:sz w:val="20"/>
          <w:szCs w:val="20"/>
          <w:lang w:eastAsia="es-ES"/>
        </w:rPr>
        <w:t>O MERENDÓN</w:t>
      </w:r>
      <w:r w:rsidR="00DB4E9A" w:rsidRPr="000121F1">
        <w:rPr>
          <w:rFonts w:asciiTheme="minorHAnsi" w:hAnsiTheme="minorHAnsi" w:cstheme="minorHAnsi"/>
          <w:sz w:val="20"/>
          <w:szCs w:val="20"/>
          <w:lang w:eastAsia="es-ES"/>
        </w:rPr>
        <w:t xml:space="preserve">, </w:t>
      </w:r>
      <w:r w:rsidRPr="000121F1">
        <w:rPr>
          <w:rFonts w:asciiTheme="minorHAnsi" w:hAnsiTheme="minorHAnsi" w:cstheme="minorHAnsi"/>
          <w:sz w:val="20"/>
          <w:szCs w:val="20"/>
          <w:lang w:eastAsia="es-ES"/>
        </w:rPr>
        <w:t>227. ROSAL</w:t>
      </w:r>
    </w:p>
    <w:p w14:paraId="12C93386" w14:textId="77777777" w:rsidR="004C4B07" w:rsidRDefault="004C4B07" w:rsidP="00DB4E9A">
      <w:pPr>
        <w:autoSpaceDE w:val="0"/>
        <w:autoSpaceDN w:val="0"/>
        <w:adjustRightInd w:val="0"/>
        <w:spacing w:after="0" w:line="240" w:lineRule="auto"/>
        <w:ind w:left="708"/>
        <w:rPr>
          <w:rFonts w:asciiTheme="minorHAnsi" w:hAnsiTheme="minorHAnsi" w:cstheme="minorHAnsi"/>
          <w:sz w:val="16"/>
          <w:szCs w:val="16"/>
          <w:lang w:eastAsia="es-ES"/>
        </w:rPr>
      </w:pPr>
    </w:p>
    <w:p w14:paraId="7831E3B1" w14:textId="5594B1DF" w:rsidR="00BF39A4" w:rsidRDefault="00BF39A4" w:rsidP="004C4B07">
      <w:pPr>
        <w:autoSpaceDE w:val="0"/>
        <w:autoSpaceDN w:val="0"/>
        <w:adjustRightInd w:val="0"/>
        <w:spacing w:before="120" w:after="0" w:line="240" w:lineRule="auto"/>
        <w:jc w:val="both"/>
        <w:rPr>
          <w:rFonts w:asciiTheme="minorHAnsi" w:hAnsiTheme="minorHAnsi" w:cstheme="minorHAnsi"/>
          <w:color w:val="000000" w:themeColor="text1"/>
          <w:sz w:val="24"/>
          <w:szCs w:val="24"/>
          <w:lang w:eastAsia="es-ES"/>
        </w:rPr>
      </w:pPr>
      <w:r>
        <w:rPr>
          <w:rFonts w:asciiTheme="minorHAnsi" w:hAnsiTheme="minorHAnsi" w:cstheme="minorHAnsi"/>
          <w:sz w:val="24"/>
          <w:szCs w:val="24"/>
          <w:lang w:eastAsia="es-ES"/>
        </w:rPr>
        <w:t>O 29/12/2020, recibía</w:t>
      </w:r>
      <w:r w:rsidR="006051E7">
        <w:rPr>
          <w:rFonts w:asciiTheme="minorHAnsi" w:hAnsiTheme="minorHAnsi" w:cstheme="minorHAnsi"/>
          <w:sz w:val="24"/>
          <w:szCs w:val="24"/>
          <w:lang w:eastAsia="es-ES"/>
        </w:rPr>
        <w:t>n</w:t>
      </w:r>
      <w:r>
        <w:rPr>
          <w:rFonts w:asciiTheme="minorHAnsi" w:hAnsiTheme="minorHAnsi" w:cstheme="minorHAnsi"/>
          <w:sz w:val="24"/>
          <w:szCs w:val="24"/>
          <w:lang w:eastAsia="es-ES"/>
        </w:rPr>
        <w:t xml:space="preserve"> </w:t>
      </w:r>
      <w:r w:rsidR="00D712A2">
        <w:rPr>
          <w:rFonts w:asciiTheme="minorHAnsi" w:hAnsiTheme="minorHAnsi" w:cstheme="minorHAnsi"/>
          <w:sz w:val="24"/>
          <w:szCs w:val="24"/>
          <w:lang w:eastAsia="es-ES"/>
        </w:rPr>
        <w:t xml:space="preserve">requerimento </w:t>
      </w:r>
      <w:r w:rsidR="006051E7">
        <w:rPr>
          <w:rFonts w:asciiTheme="minorHAnsi" w:hAnsiTheme="minorHAnsi" w:cstheme="minorHAnsi"/>
          <w:color w:val="000000" w:themeColor="text1"/>
          <w:sz w:val="24"/>
          <w:szCs w:val="24"/>
          <w:lang w:eastAsia="es-ES"/>
        </w:rPr>
        <w:t xml:space="preserve">co nº de Expediente: AI-2020/65, </w:t>
      </w:r>
      <w:r w:rsidR="00D712A2">
        <w:rPr>
          <w:rFonts w:asciiTheme="minorHAnsi" w:hAnsiTheme="minorHAnsi" w:cstheme="minorHAnsi"/>
          <w:sz w:val="24"/>
          <w:szCs w:val="24"/>
          <w:lang w:eastAsia="es-ES"/>
        </w:rPr>
        <w:t>da Xefa do Servizo de Enerx</w:t>
      </w:r>
      <w:r w:rsidR="004C4B07">
        <w:rPr>
          <w:rFonts w:asciiTheme="minorHAnsi" w:hAnsiTheme="minorHAnsi" w:cstheme="minorHAnsi"/>
          <w:sz w:val="24"/>
          <w:szCs w:val="24"/>
          <w:lang w:eastAsia="es-ES"/>
        </w:rPr>
        <w:t>ías Renovables, Dña. Mª Raquel C</w:t>
      </w:r>
      <w:r w:rsidR="00D712A2">
        <w:rPr>
          <w:rFonts w:asciiTheme="minorHAnsi" w:hAnsiTheme="minorHAnsi" w:cstheme="minorHAnsi"/>
          <w:sz w:val="24"/>
          <w:szCs w:val="24"/>
          <w:lang w:eastAsia="es-ES"/>
        </w:rPr>
        <w:t xml:space="preserve">arballido Reboredo, </w:t>
      </w:r>
      <w:r>
        <w:rPr>
          <w:rFonts w:asciiTheme="minorHAnsi" w:hAnsiTheme="minorHAnsi" w:cstheme="minorHAnsi"/>
          <w:sz w:val="24"/>
          <w:szCs w:val="24"/>
          <w:lang w:eastAsia="es-ES"/>
        </w:rPr>
        <w:t>procedente da Dirección Xeral de Planificación Enerxét</w:t>
      </w:r>
      <w:r w:rsidR="006051E7">
        <w:rPr>
          <w:rFonts w:asciiTheme="minorHAnsi" w:hAnsiTheme="minorHAnsi" w:cstheme="minorHAnsi"/>
          <w:sz w:val="24"/>
          <w:szCs w:val="24"/>
          <w:lang w:eastAsia="es-ES"/>
        </w:rPr>
        <w:t>ica e Recursos Naturais, informa</w:t>
      </w:r>
      <w:r>
        <w:rPr>
          <w:rFonts w:asciiTheme="minorHAnsi" w:hAnsiTheme="minorHAnsi" w:cstheme="minorHAnsi"/>
          <w:sz w:val="24"/>
          <w:szCs w:val="24"/>
          <w:lang w:eastAsia="es-ES"/>
        </w:rPr>
        <w:t xml:space="preserve">ndo que para obter ditos expedientes correspondentes aos parques eólicos: </w:t>
      </w:r>
      <w:r w:rsidRPr="00BF39A4">
        <w:rPr>
          <w:rFonts w:asciiTheme="minorHAnsi" w:hAnsiTheme="minorHAnsi" w:cstheme="minorHAnsi"/>
          <w:color w:val="000000" w:themeColor="text1"/>
          <w:sz w:val="24"/>
          <w:szCs w:val="24"/>
          <w:lang w:eastAsia="es-ES"/>
        </w:rPr>
        <w:t>Toroña</w:t>
      </w:r>
      <w:r>
        <w:rPr>
          <w:rFonts w:asciiTheme="minorHAnsi" w:hAnsiTheme="minorHAnsi" w:cstheme="minorHAnsi"/>
          <w:color w:val="000000" w:themeColor="text1"/>
          <w:sz w:val="24"/>
          <w:szCs w:val="24"/>
          <w:lang w:eastAsia="es-ES"/>
        </w:rPr>
        <w:t xml:space="preserve"> </w:t>
      </w:r>
      <w:r w:rsidRPr="00BF39A4">
        <w:rPr>
          <w:rFonts w:asciiTheme="minorHAnsi" w:hAnsiTheme="minorHAnsi" w:cstheme="minorHAnsi"/>
          <w:color w:val="000000" w:themeColor="text1"/>
          <w:sz w:val="24"/>
          <w:szCs w:val="24"/>
          <w:lang w:eastAsia="es-ES"/>
        </w:rPr>
        <w:t>(IN408A/ 2020/57), Torroña III (IN408A/ 2020/45), Albariño I (IN661A 2007/1-4), Torroña I</w:t>
      </w:r>
      <w:r>
        <w:rPr>
          <w:rFonts w:asciiTheme="minorHAnsi" w:hAnsiTheme="minorHAnsi" w:cstheme="minorHAnsi"/>
          <w:color w:val="000000" w:themeColor="text1"/>
          <w:sz w:val="24"/>
          <w:szCs w:val="24"/>
          <w:lang w:eastAsia="es-ES"/>
        </w:rPr>
        <w:t xml:space="preserve"> </w:t>
      </w:r>
      <w:r w:rsidRPr="00BF39A4">
        <w:rPr>
          <w:rFonts w:asciiTheme="minorHAnsi" w:hAnsiTheme="minorHAnsi" w:cstheme="minorHAnsi"/>
          <w:color w:val="000000" w:themeColor="text1"/>
          <w:sz w:val="24"/>
          <w:szCs w:val="24"/>
          <w:lang w:eastAsia="es-ES"/>
        </w:rPr>
        <w:t>(IN408A/ 2020/ 24), Do Merendón (IN661A 2011/ 19-4) e Rosal (IN408A/2020/ 46)</w:t>
      </w:r>
      <w:r>
        <w:rPr>
          <w:rFonts w:asciiTheme="minorHAnsi" w:hAnsiTheme="minorHAnsi" w:cstheme="minorHAnsi"/>
          <w:color w:val="000000" w:themeColor="text1"/>
          <w:sz w:val="24"/>
          <w:szCs w:val="24"/>
          <w:lang w:eastAsia="es-ES"/>
        </w:rPr>
        <w:t xml:space="preserve">, </w:t>
      </w:r>
      <w:r w:rsidR="004C4B07">
        <w:rPr>
          <w:rFonts w:asciiTheme="minorHAnsi" w:hAnsiTheme="minorHAnsi" w:cstheme="minorHAnsi"/>
          <w:color w:val="000000" w:themeColor="text1"/>
          <w:sz w:val="24"/>
          <w:szCs w:val="24"/>
          <w:lang w:eastAsia="es-ES"/>
        </w:rPr>
        <w:t>precisába</w:t>
      </w:r>
      <w:r w:rsidR="006051E7">
        <w:rPr>
          <w:rFonts w:asciiTheme="minorHAnsi" w:hAnsiTheme="minorHAnsi" w:cstheme="minorHAnsi"/>
          <w:color w:val="000000" w:themeColor="text1"/>
          <w:sz w:val="24"/>
          <w:szCs w:val="24"/>
          <w:lang w:eastAsia="es-ES"/>
        </w:rPr>
        <w:t>se</w:t>
      </w:r>
      <w:r w:rsidR="004C4B07">
        <w:rPr>
          <w:rFonts w:asciiTheme="minorHAnsi" w:hAnsiTheme="minorHAnsi" w:cstheme="minorHAnsi"/>
          <w:color w:val="000000" w:themeColor="text1"/>
          <w:sz w:val="24"/>
          <w:szCs w:val="24"/>
          <w:lang w:eastAsia="es-ES"/>
        </w:rPr>
        <w:t xml:space="preserve"> a </w:t>
      </w:r>
      <w:r>
        <w:rPr>
          <w:rFonts w:asciiTheme="minorHAnsi" w:hAnsiTheme="minorHAnsi" w:cstheme="minorHAnsi"/>
          <w:color w:val="000000" w:themeColor="text1"/>
          <w:sz w:val="24"/>
          <w:szCs w:val="24"/>
          <w:lang w:eastAsia="es-ES"/>
        </w:rPr>
        <w:t>obrigatoriedade do pago das taxas no prazo máximo de 10 días desde o recibo do escrito.</w:t>
      </w:r>
    </w:p>
    <w:p w14:paraId="5F00D229" w14:textId="373834F1" w:rsidR="00D712A2" w:rsidRDefault="00BF39A4" w:rsidP="004C4B07">
      <w:pPr>
        <w:autoSpaceDE w:val="0"/>
        <w:autoSpaceDN w:val="0"/>
        <w:adjustRightInd w:val="0"/>
        <w:spacing w:before="120" w:after="0" w:line="240" w:lineRule="auto"/>
        <w:jc w:val="both"/>
        <w:rPr>
          <w:rFonts w:asciiTheme="minorHAnsi" w:eastAsia="ArialMT" w:hAnsiTheme="minorHAnsi" w:cstheme="minorHAnsi"/>
          <w:sz w:val="24"/>
          <w:szCs w:val="24"/>
          <w:lang w:eastAsia="es-ES"/>
        </w:rPr>
      </w:pPr>
      <w:r>
        <w:rPr>
          <w:rFonts w:asciiTheme="minorHAnsi" w:hAnsiTheme="minorHAnsi" w:cstheme="minorHAnsi"/>
          <w:color w:val="000000" w:themeColor="text1"/>
          <w:sz w:val="24"/>
          <w:szCs w:val="24"/>
          <w:lang w:eastAsia="es-ES"/>
        </w:rPr>
        <w:t xml:space="preserve">Este ingreso </w:t>
      </w:r>
      <w:r w:rsidR="004C4B07">
        <w:rPr>
          <w:rFonts w:asciiTheme="minorHAnsi" w:hAnsiTheme="minorHAnsi" w:cstheme="minorHAnsi"/>
          <w:color w:val="000000" w:themeColor="text1"/>
          <w:sz w:val="24"/>
          <w:szCs w:val="24"/>
          <w:lang w:eastAsia="es-ES"/>
        </w:rPr>
        <w:t xml:space="preserve">de taxas </w:t>
      </w:r>
      <w:r>
        <w:rPr>
          <w:rFonts w:asciiTheme="minorHAnsi" w:hAnsiTheme="minorHAnsi" w:cstheme="minorHAnsi"/>
          <w:color w:val="000000" w:themeColor="text1"/>
          <w:sz w:val="24"/>
          <w:szCs w:val="24"/>
          <w:lang w:eastAsia="es-ES"/>
        </w:rPr>
        <w:t>efectuouse o 07/01/</w:t>
      </w:r>
      <w:r w:rsidR="00D712A2">
        <w:rPr>
          <w:rFonts w:asciiTheme="minorHAnsi" w:hAnsiTheme="minorHAnsi" w:cstheme="minorHAnsi"/>
          <w:color w:val="000000" w:themeColor="text1"/>
          <w:sz w:val="24"/>
          <w:szCs w:val="24"/>
          <w:lang w:eastAsia="es-ES"/>
        </w:rPr>
        <w:t>2021 na ent</w:t>
      </w:r>
      <w:r w:rsidR="004C4B07">
        <w:rPr>
          <w:rFonts w:asciiTheme="minorHAnsi" w:hAnsiTheme="minorHAnsi" w:cstheme="minorHAnsi"/>
          <w:color w:val="000000" w:themeColor="text1"/>
          <w:sz w:val="24"/>
          <w:szCs w:val="24"/>
          <w:lang w:eastAsia="es-ES"/>
        </w:rPr>
        <w:t>i</w:t>
      </w:r>
      <w:r w:rsidR="00D712A2">
        <w:rPr>
          <w:rFonts w:asciiTheme="minorHAnsi" w:hAnsiTheme="minorHAnsi" w:cstheme="minorHAnsi"/>
          <w:color w:val="000000" w:themeColor="text1"/>
          <w:sz w:val="24"/>
          <w:szCs w:val="24"/>
          <w:lang w:eastAsia="es-ES"/>
        </w:rPr>
        <w:t xml:space="preserve">dade A </w:t>
      </w:r>
      <w:r w:rsidR="004C4B07">
        <w:rPr>
          <w:rFonts w:asciiTheme="minorHAnsi" w:hAnsiTheme="minorHAnsi" w:cstheme="minorHAnsi"/>
          <w:color w:val="000000" w:themeColor="text1"/>
          <w:sz w:val="24"/>
          <w:szCs w:val="24"/>
          <w:lang w:eastAsia="es-ES"/>
        </w:rPr>
        <w:t>Banca co NRC</w:t>
      </w:r>
      <w:r w:rsidR="00D712A2">
        <w:rPr>
          <w:rFonts w:asciiTheme="minorHAnsi" w:hAnsiTheme="minorHAnsi" w:cstheme="minorHAnsi"/>
          <w:color w:val="000000" w:themeColor="text1"/>
          <w:sz w:val="24"/>
          <w:szCs w:val="24"/>
          <w:lang w:eastAsia="es-ES"/>
        </w:rPr>
        <w:t xml:space="preserve"> 7392100025651R4143E7DA correspondente ao nº de operación: </w:t>
      </w:r>
      <w:r w:rsidR="00D712A2" w:rsidRPr="00D712A2">
        <w:rPr>
          <w:rFonts w:asciiTheme="minorHAnsi" w:eastAsia="ArialMT" w:hAnsiTheme="minorHAnsi" w:cstheme="minorHAnsi"/>
          <w:sz w:val="24"/>
          <w:szCs w:val="24"/>
          <w:lang w:eastAsia="es-ES"/>
        </w:rPr>
        <w:t>730975629803 1 e ao Nº de Taxa: 975629803</w:t>
      </w:r>
      <w:r w:rsidR="00D712A2">
        <w:rPr>
          <w:rFonts w:asciiTheme="minorHAnsi" w:eastAsia="ArialMT" w:hAnsiTheme="minorHAnsi" w:cstheme="minorHAnsi"/>
          <w:sz w:val="24"/>
          <w:szCs w:val="24"/>
          <w:lang w:eastAsia="es-ES"/>
        </w:rPr>
        <w:t>.</w:t>
      </w:r>
    </w:p>
    <w:p w14:paraId="6F884830" w14:textId="3E4BE090" w:rsidR="004C4B07" w:rsidRDefault="00D712A2" w:rsidP="004C4B07">
      <w:pPr>
        <w:autoSpaceDE w:val="0"/>
        <w:autoSpaceDN w:val="0"/>
        <w:adjustRightInd w:val="0"/>
        <w:spacing w:before="120" w:after="0" w:line="240" w:lineRule="auto"/>
        <w:jc w:val="both"/>
        <w:rPr>
          <w:rFonts w:asciiTheme="minorHAnsi" w:hAnsiTheme="minorHAnsi" w:cstheme="minorHAnsi"/>
          <w:sz w:val="24"/>
          <w:szCs w:val="24"/>
          <w:lang w:eastAsia="es-ES"/>
        </w:rPr>
      </w:pPr>
      <w:r>
        <w:rPr>
          <w:rFonts w:asciiTheme="minorHAnsi" w:hAnsiTheme="minorHAnsi" w:cstheme="minorHAnsi"/>
          <w:color w:val="000000" w:themeColor="text1"/>
          <w:sz w:val="24"/>
          <w:szCs w:val="24"/>
          <w:lang w:eastAsia="es-ES"/>
        </w:rPr>
        <w:t xml:space="preserve">E desde esa data </w:t>
      </w:r>
      <w:r w:rsidR="001F7EA2">
        <w:rPr>
          <w:rFonts w:asciiTheme="minorHAnsi" w:hAnsiTheme="minorHAnsi" w:cstheme="minorHAnsi"/>
          <w:color w:val="000000" w:themeColor="text1"/>
          <w:sz w:val="24"/>
          <w:szCs w:val="24"/>
          <w:lang w:eastAsia="es-ES"/>
        </w:rPr>
        <w:t>ata hoxe, seguimos</w:t>
      </w:r>
      <w:r>
        <w:rPr>
          <w:rFonts w:asciiTheme="minorHAnsi" w:hAnsiTheme="minorHAnsi" w:cstheme="minorHAnsi"/>
          <w:color w:val="000000" w:themeColor="text1"/>
          <w:sz w:val="24"/>
          <w:szCs w:val="24"/>
          <w:lang w:eastAsia="es-ES"/>
        </w:rPr>
        <w:t xml:space="preserve"> á espera de recibir a información solicitada ou calquera escrito referido a esa solicitude.</w:t>
      </w:r>
    </w:p>
    <w:p w14:paraId="0D2149DE" w14:textId="52A6FAF1" w:rsidR="00BF39A4" w:rsidRDefault="00D712A2" w:rsidP="004C4B07">
      <w:pPr>
        <w:spacing w:before="120" w:line="240" w:lineRule="auto"/>
        <w:jc w:val="both"/>
        <w:rPr>
          <w:rFonts w:asciiTheme="minorHAnsi" w:hAnsiTheme="minorHAnsi" w:cstheme="minorHAnsi"/>
          <w:sz w:val="24"/>
          <w:szCs w:val="24"/>
          <w:lang w:eastAsia="es-ES"/>
        </w:rPr>
      </w:pPr>
      <w:r>
        <w:rPr>
          <w:rFonts w:asciiTheme="minorHAnsi" w:hAnsiTheme="minorHAnsi" w:cstheme="minorHAnsi"/>
          <w:sz w:val="24"/>
          <w:szCs w:val="24"/>
          <w:lang w:eastAsia="es-ES"/>
        </w:rPr>
        <w:t xml:space="preserve">Estando aberto o período de alegacións ao P.E. </w:t>
      </w:r>
      <w:r w:rsidR="00554BDF">
        <w:rPr>
          <w:rFonts w:asciiTheme="minorHAnsi" w:hAnsiTheme="minorHAnsi" w:cstheme="minorHAnsi"/>
          <w:sz w:val="24"/>
          <w:szCs w:val="24"/>
          <w:lang w:eastAsia="es-ES"/>
        </w:rPr>
        <w:t>Torroña I</w:t>
      </w:r>
      <w:r>
        <w:rPr>
          <w:rFonts w:asciiTheme="minorHAnsi" w:hAnsiTheme="minorHAnsi" w:cstheme="minorHAnsi"/>
          <w:sz w:val="24"/>
          <w:szCs w:val="24"/>
          <w:lang w:eastAsia="es-ES"/>
        </w:rPr>
        <w:t>, e carecendo d</w:t>
      </w:r>
      <w:r w:rsidR="001F7EA2">
        <w:rPr>
          <w:rFonts w:asciiTheme="minorHAnsi" w:hAnsiTheme="minorHAnsi" w:cstheme="minorHAnsi"/>
          <w:sz w:val="24"/>
          <w:szCs w:val="24"/>
          <w:lang w:eastAsia="es-ES"/>
        </w:rPr>
        <w:t>e</w:t>
      </w:r>
      <w:r>
        <w:rPr>
          <w:rFonts w:asciiTheme="minorHAnsi" w:hAnsiTheme="minorHAnsi" w:cstheme="minorHAnsi"/>
          <w:sz w:val="24"/>
          <w:szCs w:val="24"/>
          <w:lang w:eastAsia="es-ES"/>
        </w:rPr>
        <w:t xml:space="preserve"> </w:t>
      </w:r>
      <w:r w:rsidR="001F7EA2">
        <w:rPr>
          <w:rFonts w:asciiTheme="minorHAnsi" w:hAnsiTheme="minorHAnsi" w:cstheme="minorHAnsi"/>
          <w:sz w:val="24"/>
          <w:szCs w:val="24"/>
          <w:lang w:eastAsia="es-ES"/>
        </w:rPr>
        <w:t>acceso aos expedientes aos</w:t>
      </w:r>
      <w:r>
        <w:rPr>
          <w:rFonts w:asciiTheme="minorHAnsi" w:hAnsiTheme="minorHAnsi" w:cstheme="minorHAnsi"/>
          <w:sz w:val="24"/>
          <w:szCs w:val="24"/>
          <w:lang w:eastAsia="es-ES"/>
        </w:rPr>
        <w:t xml:space="preserve"> que temos dereito,</w:t>
      </w:r>
      <w:r w:rsidR="004C4B07">
        <w:rPr>
          <w:rFonts w:asciiTheme="minorHAnsi" w:hAnsiTheme="minorHAnsi" w:cstheme="minorHAnsi"/>
          <w:sz w:val="24"/>
          <w:szCs w:val="24"/>
          <w:lang w:eastAsia="es-ES"/>
        </w:rPr>
        <w:t xml:space="preserve"> atopámonos </w:t>
      </w:r>
      <w:r w:rsidR="001676EF">
        <w:rPr>
          <w:rFonts w:asciiTheme="minorHAnsi" w:hAnsiTheme="minorHAnsi" w:cstheme="minorHAnsi"/>
          <w:sz w:val="24"/>
          <w:szCs w:val="24"/>
          <w:lang w:eastAsia="es-ES"/>
        </w:rPr>
        <w:t>impedidos para realizar unha alegación debidamente informada e polo tanto</w:t>
      </w:r>
      <w:r w:rsidR="006051E7">
        <w:rPr>
          <w:rFonts w:asciiTheme="minorHAnsi" w:hAnsiTheme="minorHAnsi" w:cstheme="minorHAnsi"/>
          <w:sz w:val="24"/>
          <w:szCs w:val="24"/>
          <w:lang w:eastAsia="es-ES"/>
        </w:rPr>
        <w:t xml:space="preserve"> dita administración </w:t>
      </w:r>
      <w:r w:rsidR="001676EF">
        <w:rPr>
          <w:rFonts w:asciiTheme="minorHAnsi" w:hAnsiTheme="minorHAnsi" w:cstheme="minorHAnsi"/>
          <w:sz w:val="24"/>
          <w:szCs w:val="24"/>
          <w:lang w:eastAsia="es-ES"/>
        </w:rPr>
        <w:t>vulnera os nosos dereitos de acceso á información.</w:t>
      </w:r>
    </w:p>
    <w:p w14:paraId="0024D481" w14:textId="48330894" w:rsidR="00D712A2" w:rsidRPr="00E42AE6" w:rsidRDefault="00D712A2" w:rsidP="004C4B07">
      <w:pPr>
        <w:spacing w:before="120" w:after="120" w:line="240" w:lineRule="auto"/>
        <w:jc w:val="both"/>
        <w:rPr>
          <w:rFonts w:asciiTheme="minorHAnsi" w:hAnsiTheme="minorHAnsi" w:cstheme="minorHAnsi"/>
          <w:sz w:val="24"/>
          <w:szCs w:val="24"/>
          <w:lang w:val="gl-ES"/>
        </w:rPr>
      </w:pPr>
      <w:r w:rsidRPr="00E42AE6">
        <w:rPr>
          <w:rFonts w:asciiTheme="minorHAnsi" w:hAnsiTheme="minorHAnsi" w:cstheme="minorHAnsi"/>
          <w:sz w:val="24"/>
          <w:szCs w:val="24"/>
          <w:lang w:val="gl-ES"/>
        </w:rPr>
        <w:t xml:space="preserve">En decembro de 2021 o Consello da Cultura Galega emitiu </w:t>
      </w:r>
      <w:hyperlink r:id="rId60" w:history="1">
        <w:r w:rsidRPr="004C4B07">
          <w:rPr>
            <w:rStyle w:val="Hipervnculo"/>
            <w:rFonts w:asciiTheme="minorHAnsi" w:hAnsiTheme="minorHAnsi" w:cstheme="minorHAnsi"/>
            <w:sz w:val="24"/>
            <w:szCs w:val="24"/>
            <w:lang w:val="gl-ES"/>
          </w:rPr>
          <w:t>INFORME DA COMISIÓN TÉCNICA TEMPORAL SOBRE ENERXÍA EÓLICA E PAISAXES CULTURAIS EN GALICIA</w:t>
        </w:r>
      </w:hyperlink>
      <w:r w:rsidR="004C4B07">
        <w:rPr>
          <w:rStyle w:val="Refdenotaalpie"/>
          <w:rFonts w:asciiTheme="minorHAnsi" w:hAnsiTheme="minorHAnsi"/>
          <w:sz w:val="24"/>
          <w:szCs w:val="24"/>
          <w:lang w:val="gl-ES"/>
        </w:rPr>
        <w:footnoteReference w:id="47"/>
      </w:r>
      <w:r w:rsidRPr="00E42AE6">
        <w:rPr>
          <w:rFonts w:asciiTheme="minorHAnsi" w:hAnsiTheme="minorHAnsi" w:cstheme="minorHAnsi"/>
          <w:sz w:val="24"/>
          <w:szCs w:val="24"/>
          <w:lang w:val="gl-ES"/>
        </w:rPr>
        <w:t xml:space="preserve"> en cuxas conclusións se indica expresamente:</w:t>
      </w:r>
    </w:p>
    <w:p w14:paraId="1FF90D64" w14:textId="77777777" w:rsidR="00D712A2" w:rsidRPr="004C4B07" w:rsidRDefault="00D712A2" w:rsidP="00D712A2">
      <w:pPr>
        <w:spacing w:after="120"/>
        <w:ind w:left="720"/>
        <w:jc w:val="both"/>
        <w:rPr>
          <w:rFonts w:asciiTheme="minorHAnsi" w:hAnsiTheme="minorHAnsi" w:cstheme="minorHAnsi"/>
          <w:i/>
          <w:sz w:val="20"/>
          <w:szCs w:val="20"/>
          <w:lang w:val="gl-ES"/>
        </w:rPr>
      </w:pPr>
      <w:r w:rsidRPr="004C4B07">
        <w:rPr>
          <w:rFonts w:asciiTheme="minorHAnsi" w:hAnsiTheme="minorHAnsi" w:cstheme="minorHAnsi"/>
          <w:i/>
          <w:sz w:val="20"/>
          <w:szCs w:val="20"/>
          <w:lang w:val="gl-ES"/>
        </w:rPr>
        <w:t xml:space="preserve">“7. </w:t>
      </w:r>
      <w:r w:rsidRPr="004C4B07">
        <w:rPr>
          <w:rFonts w:asciiTheme="minorHAnsi" w:hAnsiTheme="minorHAnsi" w:cstheme="minorHAnsi"/>
          <w:b/>
          <w:i/>
          <w:sz w:val="20"/>
          <w:szCs w:val="20"/>
          <w:lang w:val="gl-ES"/>
        </w:rPr>
        <w:t>Non se pode equiparar a participación pública coa información pública, xa que a segunda non pode substituír á primeira</w:t>
      </w:r>
      <w:r w:rsidRPr="004C4B07">
        <w:rPr>
          <w:rFonts w:asciiTheme="minorHAnsi" w:hAnsiTheme="minorHAnsi" w:cstheme="minorHAnsi"/>
          <w:i/>
          <w:sz w:val="20"/>
          <w:szCs w:val="20"/>
          <w:lang w:val="gl-ES"/>
        </w:rPr>
        <w:t>. A planificación dos territorios susceptibles de acoller parques eólicos debe contar coas comunidades locais polo seu coñecemento do territorio, sen furtarlles o dereito a ser parte das decisións que afectan a súa relación co territorio que habitan, segundo ampara o Convenio europeo da paisaxe.”</w:t>
      </w:r>
    </w:p>
    <w:p w14:paraId="5C9EDA3F" w14:textId="0142EDBB" w:rsidR="009E1D3D" w:rsidRDefault="00D712A2" w:rsidP="004C4B07">
      <w:pPr>
        <w:spacing w:before="120" w:after="0" w:line="240" w:lineRule="auto"/>
        <w:jc w:val="both"/>
        <w:rPr>
          <w:rFonts w:asciiTheme="minorHAnsi" w:hAnsiTheme="minorHAnsi" w:cstheme="minorHAnsi"/>
          <w:sz w:val="24"/>
          <w:szCs w:val="24"/>
          <w:lang w:val="gl-ES"/>
        </w:rPr>
      </w:pPr>
      <w:r w:rsidRPr="00E42AE6">
        <w:rPr>
          <w:rFonts w:asciiTheme="minorHAnsi" w:hAnsiTheme="minorHAnsi" w:cstheme="minorHAnsi"/>
          <w:sz w:val="24"/>
          <w:szCs w:val="24"/>
          <w:lang w:val="gl-ES"/>
        </w:rPr>
        <w:t>Todo o anterior evidencia non só a visión limitadora da Administración en relación aos dereitos de participación ambiental, máis tamén a actitude obstruccionista, cando non directamente indiciaria de ilícitos penai</w:t>
      </w:r>
      <w:r w:rsidR="001F7EA2">
        <w:rPr>
          <w:rFonts w:asciiTheme="minorHAnsi" w:hAnsiTheme="minorHAnsi" w:cstheme="minorHAnsi"/>
          <w:sz w:val="24"/>
          <w:szCs w:val="24"/>
          <w:lang w:val="gl-ES"/>
        </w:rPr>
        <w:t>s</w:t>
      </w:r>
      <w:r w:rsidRPr="00E42AE6">
        <w:rPr>
          <w:rFonts w:asciiTheme="minorHAnsi" w:hAnsiTheme="minorHAnsi" w:cstheme="minorHAnsi"/>
          <w:sz w:val="24"/>
          <w:szCs w:val="24"/>
          <w:lang w:val="gl-ES"/>
        </w:rPr>
        <w:t xml:space="preserve"> da Administración</w:t>
      </w:r>
      <w:r w:rsidR="001F7EA2">
        <w:rPr>
          <w:rFonts w:asciiTheme="minorHAnsi" w:hAnsiTheme="minorHAnsi" w:cstheme="minorHAnsi"/>
          <w:sz w:val="24"/>
          <w:szCs w:val="24"/>
          <w:lang w:val="gl-ES"/>
        </w:rPr>
        <w:t>,</w:t>
      </w:r>
      <w:r w:rsidRPr="00E42AE6">
        <w:rPr>
          <w:rFonts w:asciiTheme="minorHAnsi" w:hAnsiTheme="minorHAnsi" w:cstheme="minorHAnsi"/>
          <w:sz w:val="24"/>
          <w:szCs w:val="24"/>
          <w:lang w:val="gl-ES"/>
        </w:rPr>
        <w:t xml:space="preserve"> no que atinxe ao presente proxecto. </w:t>
      </w:r>
      <w:r>
        <w:rPr>
          <w:rFonts w:asciiTheme="minorHAnsi" w:hAnsiTheme="minorHAnsi" w:cstheme="minorHAnsi"/>
          <w:sz w:val="24"/>
          <w:szCs w:val="24"/>
          <w:lang w:val="gl-ES"/>
        </w:rPr>
        <w:t>E</w:t>
      </w:r>
      <w:r w:rsidRPr="00E42AE6">
        <w:rPr>
          <w:rFonts w:asciiTheme="minorHAnsi" w:hAnsiTheme="minorHAnsi" w:cstheme="minorHAnsi"/>
          <w:sz w:val="24"/>
          <w:szCs w:val="24"/>
          <w:lang w:val="gl-ES"/>
        </w:rPr>
        <w:t>vid</w:t>
      </w:r>
      <w:r>
        <w:rPr>
          <w:rFonts w:asciiTheme="minorHAnsi" w:hAnsiTheme="minorHAnsi" w:cstheme="minorHAnsi"/>
          <w:sz w:val="24"/>
          <w:szCs w:val="24"/>
          <w:lang w:val="gl-ES"/>
        </w:rPr>
        <w:t>é</w:t>
      </w:r>
      <w:r w:rsidRPr="00E42AE6">
        <w:rPr>
          <w:rFonts w:asciiTheme="minorHAnsi" w:hAnsiTheme="minorHAnsi" w:cstheme="minorHAnsi"/>
          <w:sz w:val="24"/>
          <w:szCs w:val="24"/>
          <w:lang w:val="gl-ES"/>
        </w:rPr>
        <w:t>nci</w:t>
      </w:r>
      <w:r>
        <w:rPr>
          <w:rFonts w:asciiTheme="minorHAnsi" w:hAnsiTheme="minorHAnsi" w:cstheme="minorHAnsi"/>
          <w:sz w:val="24"/>
          <w:szCs w:val="24"/>
          <w:lang w:val="gl-ES"/>
        </w:rPr>
        <w:t>a</w:t>
      </w:r>
      <w:r w:rsidRPr="00E42AE6">
        <w:rPr>
          <w:rFonts w:asciiTheme="minorHAnsi" w:hAnsiTheme="minorHAnsi" w:cstheme="minorHAnsi"/>
          <w:sz w:val="24"/>
          <w:szCs w:val="24"/>
          <w:lang w:val="gl-ES"/>
        </w:rPr>
        <w:t xml:space="preserve">se o incumprimento ao longo do presente procedemento da normativa en materia de participación e acceso á información en materia de medio ambiente. Particularmente, </w:t>
      </w:r>
      <w:r w:rsidRPr="00E42AE6">
        <w:rPr>
          <w:rFonts w:asciiTheme="minorHAnsi" w:hAnsiTheme="minorHAnsi" w:cstheme="minorHAnsi"/>
          <w:b/>
          <w:sz w:val="24"/>
          <w:szCs w:val="24"/>
          <w:lang w:val="gl-ES"/>
        </w:rPr>
        <w:t>a decisión obstinada e continuada ata hoxe d</w:t>
      </w:r>
      <w:r w:rsidR="00DB4E9A">
        <w:rPr>
          <w:rFonts w:asciiTheme="minorHAnsi" w:hAnsiTheme="minorHAnsi" w:cstheme="minorHAnsi"/>
          <w:b/>
          <w:sz w:val="24"/>
          <w:szCs w:val="24"/>
          <w:lang w:val="gl-ES"/>
        </w:rPr>
        <w:t>e</w:t>
      </w:r>
      <w:r w:rsidRPr="00E42AE6">
        <w:rPr>
          <w:rFonts w:asciiTheme="minorHAnsi" w:hAnsiTheme="minorHAnsi" w:cstheme="minorHAnsi"/>
          <w:b/>
          <w:sz w:val="24"/>
          <w:szCs w:val="24"/>
          <w:lang w:val="gl-ES"/>
        </w:rPr>
        <w:t xml:space="preserve"> </w:t>
      </w:r>
      <w:r w:rsidR="00DB4E9A">
        <w:rPr>
          <w:rFonts w:asciiTheme="minorHAnsi" w:hAnsiTheme="minorHAnsi" w:cstheme="minorHAnsi"/>
          <w:b/>
          <w:sz w:val="24"/>
          <w:szCs w:val="24"/>
          <w:lang w:val="gl-ES"/>
        </w:rPr>
        <w:t xml:space="preserve">ocultación do acceso aos expedientes solicitados o que é un </w:t>
      </w:r>
      <w:r w:rsidRPr="00E42AE6">
        <w:rPr>
          <w:rFonts w:asciiTheme="minorHAnsi" w:hAnsiTheme="minorHAnsi" w:cstheme="minorHAnsi"/>
          <w:b/>
          <w:sz w:val="24"/>
          <w:szCs w:val="24"/>
          <w:lang w:val="gl-ES"/>
        </w:rPr>
        <w:t xml:space="preserve"> elemento de nulidade ou anulabilidade do actuado</w:t>
      </w:r>
      <w:r w:rsidRPr="00E42AE6">
        <w:rPr>
          <w:rFonts w:asciiTheme="minorHAnsi" w:hAnsiTheme="minorHAnsi" w:cstheme="minorHAnsi"/>
          <w:sz w:val="24"/>
          <w:szCs w:val="24"/>
          <w:lang w:val="gl-ES"/>
        </w:rPr>
        <w:t>.</w:t>
      </w:r>
      <w:r w:rsidR="00E42AE6" w:rsidRPr="00E42AE6">
        <w:rPr>
          <w:rFonts w:asciiTheme="minorHAnsi" w:hAnsiTheme="minorHAnsi" w:cstheme="minorHAnsi"/>
          <w:sz w:val="24"/>
          <w:szCs w:val="24"/>
          <w:lang w:val="gl-ES"/>
        </w:rPr>
        <w:t xml:space="preserve"> </w:t>
      </w:r>
    </w:p>
    <w:p w14:paraId="44FA5F4B" w14:textId="77777777" w:rsidR="002F2AAC" w:rsidRDefault="002F2AAC" w:rsidP="00EF524A">
      <w:pPr>
        <w:autoSpaceDE w:val="0"/>
        <w:autoSpaceDN w:val="0"/>
        <w:adjustRightInd w:val="0"/>
        <w:spacing w:after="0" w:line="240" w:lineRule="auto"/>
        <w:jc w:val="both"/>
        <w:rPr>
          <w:rFonts w:asciiTheme="minorHAnsi" w:hAnsiTheme="minorHAnsi" w:cstheme="minorHAnsi"/>
          <w:color w:val="000000" w:themeColor="text1"/>
          <w:sz w:val="24"/>
          <w:szCs w:val="24"/>
          <w:lang w:val="gl-ES"/>
        </w:rPr>
      </w:pPr>
    </w:p>
    <w:p w14:paraId="78B02083" w14:textId="0C06226A" w:rsidR="00613CA6" w:rsidRPr="00F4717A" w:rsidRDefault="00613CA6" w:rsidP="00F4717A">
      <w:pPr>
        <w:pStyle w:val="Default"/>
        <w:jc w:val="both"/>
        <w:rPr>
          <w:rFonts w:asciiTheme="minorHAnsi" w:hAnsiTheme="minorHAnsi" w:cstheme="minorHAnsi"/>
          <w:bCs/>
          <w:lang w:eastAsia="es-ES"/>
        </w:rPr>
      </w:pPr>
      <w:r w:rsidRPr="00B33A1D">
        <w:rPr>
          <w:rFonts w:asciiTheme="minorHAnsi" w:hAnsiTheme="minorHAnsi" w:cstheme="minorHAnsi"/>
          <w:color w:val="000000" w:themeColor="text1"/>
          <w:lang w:val="gl-ES"/>
        </w:rPr>
        <w:t xml:space="preserve">A Asociación de defensa medioambiental </w:t>
      </w:r>
      <w:hyperlink r:id="rId61" w:history="1">
        <w:r w:rsidRPr="00B33A1D">
          <w:rPr>
            <w:rStyle w:val="Hipervnculo"/>
            <w:rFonts w:asciiTheme="minorHAnsi" w:hAnsiTheme="minorHAnsi" w:cstheme="minorHAnsi"/>
            <w:lang w:val="gl-ES"/>
          </w:rPr>
          <w:t>Salvemos Monteferro</w:t>
        </w:r>
      </w:hyperlink>
      <w:r w:rsidRPr="00B33A1D">
        <w:rPr>
          <w:rStyle w:val="Refdenotaalpie"/>
          <w:rFonts w:asciiTheme="minorHAnsi" w:hAnsiTheme="minorHAnsi"/>
          <w:color w:val="000000" w:themeColor="text1"/>
          <w:lang w:val="gl-ES"/>
        </w:rPr>
        <w:footnoteReference w:id="48"/>
      </w:r>
      <w:r w:rsidRPr="00B33A1D">
        <w:rPr>
          <w:rFonts w:asciiTheme="minorHAnsi" w:hAnsiTheme="minorHAnsi" w:cstheme="minorHAnsi"/>
          <w:color w:val="000000" w:themeColor="text1"/>
          <w:lang w:val="gl-ES"/>
        </w:rPr>
        <w:t xml:space="preserve">, solicitou o </w:t>
      </w:r>
      <w:r w:rsidR="00B33A1D" w:rsidRPr="00B33A1D">
        <w:rPr>
          <w:rFonts w:asciiTheme="minorHAnsi" w:hAnsiTheme="minorHAnsi" w:cstheme="minorHAnsi"/>
          <w:color w:val="000000" w:themeColor="text1"/>
          <w:lang w:val="gl-ES"/>
        </w:rPr>
        <w:t>07</w:t>
      </w:r>
      <w:r w:rsidRPr="00B33A1D">
        <w:rPr>
          <w:rFonts w:asciiTheme="minorHAnsi" w:hAnsiTheme="minorHAnsi" w:cstheme="minorHAnsi"/>
          <w:color w:val="000000" w:themeColor="text1"/>
          <w:lang w:val="gl-ES"/>
        </w:rPr>
        <w:t>/</w:t>
      </w:r>
      <w:r w:rsidR="00B33A1D" w:rsidRPr="00B33A1D">
        <w:rPr>
          <w:rFonts w:asciiTheme="minorHAnsi" w:hAnsiTheme="minorHAnsi" w:cstheme="minorHAnsi"/>
          <w:color w:val="000000" w:themeColor="text1"/>
          <w:lang w:val="gl-ES"/>
        </w:rPr>
        <w:t>03</w:t>
      </w:r>
      <w:r w:rsidRPr="00B33A1D">
        <w:rPr>
          <w:rFonts w:asciiTheme="minorHAnsi" w:hAnsiTheme="minorHAnsi" w:cstheme="minorHAnsi"/>
          <w:color w:val="000000" w:themeColor="text1"/>
          <w:lang w:val="gl-ES"/>
        </w:rPr>
        <w:t>/202</w:t>
      </w:r>
      <w:r w:rsidR="00B33A1D" w:rsidRPr="00B33A1D">
        <w:rPr>
          <w:rFonts w:asciiTheme="minorHAnsi" w:hAnsiTheme="minorHAnsi" w:cstheme="minorHAnsi"/>
          <w:color w:val="000000" w:themeColor="text1"/>
          <w:lang w:val="gl-ES"/>
        </w:rPr>
        <w:t>3</w:t>
      </w:r>
      <w:r w:rsidRPr="00B33A1D">
        <w:rPr>
          <w:rFonts w:asciiTheme="minorHAnsi" w:hAnsiTheme="minorHAnsi" w:cstheme="minorHAnsi"/>
          <w:color w:val="000000" w:themeColor="text1"/>
          <w:lang w:val="gl-ES"/>
        </w:rPr>
        <w:t xml:space="preserve"> a persoación no expediente administrativo do proxecto P.E. Tor</w:t>
      </w:r>
      <w:r w:rsidR="00B33A1D" w:rsidRPr="00B33A1D">
        <w:rPr>
          <w:rFonts w:asciiTheme="minorHAnsi" w:hAnsiTheme="minorHAnsi" w:cstheme="minorHAnsi"/>
          <w:color w:val="000000" w:themeColor="text1"/>
          <w:lang w:val="gl-ES"/>
        </w:rPr>
        <w:t>r</w:t>
      </w:r>
      <w:r w:rsidRPr="00B33A1D">
        <w:rPr>
          <w:rFonts w:asciiTheme="minorHAnsi" w:hAnsiTheme="minorHAnsi" w:cstheme="minorHAnsi"/>
          <w:color w:val="000000" w:themeColor="text1"/>
          <w:lang w:val="gl-ES"/>
        </w:rPr>
        <w:t>oña</w:t>
      </w:r>
      <w:r w:rsidR="00B33A1D" w:rsidRPr="00B33A1D">
        <w:rPr>
          <w:rFonts w:asciiTheme="minorHAnsi" w:hAnsiTheme="minorHAnsi" w:cstheme="minorHAnsi"/>
          <w:color w:val="000000" w:themeColor="text1"/>
          <w:lang w:val="gl-ES"/>
        </w:rPr>
        <w:t xml:space="preserve"> I</w:t>
      </w:r>
      <w:r w:rsidR="002F2AAC" w:rsidRPr="00B33A1D">
        <w:rPr>
          <w:rFonts w:asciiTheme="minorHAnsi" w:hAnsiTheme="minorHAnsi" w:cstheme="minorHAnsi"/>
          <w:color w:val="000000" w:themeColor="text1"/>
          <w:lang w:val="gl-ES"/>
        </w:rPr>
        <w:t xml:space="preserve"> </w:t>
      </w:r>
      <w:r w:rsidR="002F2AAC" w:rsidRPr="00B33A1D">
        <w:rPr>
          <w:rFonts w:asciiTheme="minorHAnsi" w:hAnsiTheme="minorHAnsi" w:cstheme="minorHAnsi"/>
          <w:bCs/>
          <w:lang w:eastAsia="es-ES"/>
        </w:rPr>
        <w:t>(</w:t>
      </w:r>
      <w:r w:rsidR="00B33A1D" w:rsidRPr="00B33A1D">
        <w:rPr>
          <w:rFonts w:asciiTheme="minorHAnsi" w:hAnsiTheme="minorHAnsi" w:cstheme="minorHAnsi"/>
          <w:b/>
          <w:iCs/>
          <w:lang w:eastAsia="es-ES"/>
        </w:rPr>
        <w:t>IN408A 2020/24</w:t>
      </w:r>
      <w:r w:rsidR="002F2AAC" w:rsidRPr="00B33A1D">
        <w:rPr>
          <w:rFonts w:cstheme="minorHAnsi"/>
          <w:b/>
          <w:i/>
          <w:iCs/>
        </w:rPr>
        <w:t>)</w:t>
      </w:r>
      <w:r w:rsidRPr="00B33A1D">
        <w:rPr>
          <w:rFonts w:asciiTheme="minorHAnsi" w:hAnsiTheme="minorHAnsi" w:cstheme="minorHAnsi"/>
          <w:color w:val="000000" w:themeColor="text1"/>
          <w:lang w:val="gl-ES"/>
        </w:rPr>
        <w:t xml:space="preserve">, nº de entrada: </w:t>
      </w:r>
      <w:r w:rsidR="00B33A1D" w:rsidRPr="00B33A1D">
        <w:rPr>
          <w:rFonts w:asciiTheme="minorHAnsi" w:hAnsiTheme="minorHAnsi" w:cstheme="minorHAnsi"/>
          <w:b/>
          <w:bCs/>
          <w:lang w:eastAsia="es-ES"/>
        </w:rPr>
        <w:t>2023/748479</w:t>
      </w:r>
      <w:r w:rsidR="00B33A1D" w:rsidRPr="00B33A1D">
        <w:rPr>
          <w:rFonts w:ascii="TrebuchetMS-Bold" w:hAnsi="TrebuchetMS-Bold" w:cs="TrebuchetMS-Bold"/>
          <w:b/>
          <w:bCs/>
          <w:lang w:eastAsia="es-ES"/>
        </w:rPr>
        <w:t xml:space="preserve"> </w:t>
      </w:r>
      <w:r w:rsidRPr="00B33A1D">
        <w:rPr>
          <w:rFonts w:asciiTheme="minorHAnsi" w:hAnsiTheme="minorHAnsi" w:cstheme="minorHAnsi"/>
          <w:bCs/>
          <w:lang w:eastAsia="es-ES"/>
        </w:rPr>
        <w:t xml:space="preserve">na </w:t>
      </w:r>
      <w:r w:rsidR="00B33A1D" w:rsidRPr="00B33A1D">
        <w:rPr>
          <w:rFonts w:asciiTheme="minorHAnsi" w:hAnsiTheme="minorHAnsi" w:cstheme="minorHAnsi"/>
          <w:b/>
          <w:bCs/>
          <w:lang w:eastAsia="es-ES"/>
        </w:rPr>
        <w:t>DIRECCIÓN XERAL DE PLANIFICACIÓN ENERXÉTICA</w:t>
      </w:r>
      <w:r w:rsidR="00B33A1D">
        <w:rPr>
          <w:rFonts w:asciiTheme="minorHAnsi" w:hAnsiTheme="minorHAnsi" w:cstheme="minorHAnsi"/>
          <w:b/>
          <w:bCs/>
          <w:lang w:eastAsia="es-ES"/>
        </w:rPr>
        <w:t xml:space="preserve"> </w:t>
      </w:r>
      <w:r w:rsidR="00B33A1D" w:rsidRPr="00B33A1D">
        <w:rPr>
          <w:rFonts w:asciiTheme="minorHAnsi" w:hAnsiTheme="minorHAnsi" w:cstheme="minorHAnsi"/>
          <w:b/>
          <w:bCs/>
          <w:lang w:eastAsia="es-ES"/>
        </w:rPr>
        <w:t>E RECURSOS NATURAIS</w:t>
      </w:r>
      <w:r w:rsidR="00B33A1D">
        <w:rPr>
          <w:rFonts w:asciiTheme="minorHAnsi" w:hAnsiTheme="minorHAnsi" w:cstheme="minorHAnsi"/>
          <w:b/>
          <w:bCs/>
          <w:lang w:eastAsia="es-ES"/>
        </w:rPr>
        <w:t xml:space="preserve">, </w:t>
      </w:r>
      <w:r w:rsidRPr="00B33A1D">
        <w:rPr>
          <w:rFonts w:asciiTheme="minorHAnsi" w:hAnsiTheme="minorHAnsi" w:cstheme="minorHAnsi"/>
          <w:bCs/>
          <w:lang w:eastAsia="es-ES"/>
        </w:rPr>
        <w:t>sen que a data do hoxe</w:t>
      </w:r>
      <w:r w:rsidR="002F2AAC" w:rsidRPr="00B33A1D">
        <w:rPr>
          <w:rFonts w:asciiTheme="minorHAnsi" w:hAnsiTheme="minorHAnsi" w:cstheme="minorHAnsi"/>
          <w:bCs/>
          <w:lang w:eastAsia="es-ES"/>
        </w:rPr>
        <w:t xml:space="preserve"> obtivera</w:t>
      </w:r>
      <w:r w:rsidRPr="00B33A1D">
        <w:rPr>
          <w:rFonts w:asciiTheme="minorHAnsi" w:hAnsiTheme="minorHAnsi" w:cstheme="minorHAnsi"/>
          <w:bCs/>
          <w:lang w:eastAsia="es-ES"/>
        </w:rPr>
        <w:t xml:space="preserve"> resposta á mesma, o que </w:t>
      </w:r>
      <w:r w:rsidR="00F4717A">
        <w:rPr>
          <w:rFonts w:asciiTheme="minorHAnsi" w:hAnsiTheme="minorHAnsi" w:cstheme="minorHAnsi"/>
          <w:bCs/>
          <w:lang w:eastAsia="es-ES"/>
        </w:rPr>
        <w:t xml:space="preserve">conculca o dereito </w:t>
      </w:r>
      <w:r w:rsidR="00F4717A" w:rsidRPr="00F4717A">
        <w:rPr>
          <w:rFonts w:cs="Calibri"/>
          <w:lang w:eastAsia="es-ES"/>
        </w:rPr>
        <w:t>recoñecido no artigo 22 de la Lei 27/2006 de 18 de xullo, como no artigo 5.g da lei 21/2013 de 9 de decembro de Evaluación Ambiental, polas que se regulan os dereitos de acceso á información, de participación pública e de acceso á xustiza en materia de medio ambiente</w:t>
      </w:r>
      <w:r w:rsidR="00F4717A">
        <w:rPr>
          <w:rFonts w:cs="Calibri"/>
          <w:lang w:eastAsia="es-ES"/>
        </w:rPr>
        <w:t xml:space="preserve">, e </w:t>
      </w:r>
      <w:r w:rsidRPr="00F4717A">
        <w:rPr>
          <w:rFonts w:asciiTheme="minorHAnsi" w:hAnsiTheme="minorHAnsi" w:cstheme="minorHAnsi"/>
          <w:bCs/>
          <w:lang w:eastAsia="es-ES"/>
        </w:rPr>
        <w:t xml:space="preserve">impide a correcta formulación de ésta alegación. </w:t>
      </w:r>
    </w:p>
    <w:p w14:paraId="2B207DC3" w14:textId="77777777" w:rsidR="002F2AAC" w:rsidRDefault="002F2AAC" w:rsidP="00EF524A">
      <w:pPr>
        <w:autoSpaceDE w:val="0"/>
        <w:autoSpaceDN w:val="0"/>
        <w:adjustRightInd w:val="0"/>
        <w:spacing w:after="0" w:line="240" w:lineRule="auto"/>
        <w:jc w:val="both"/>
        <w:rPr>
          <w:rFonts w:asciiTheme="minorHAnsi" w:hAnsiTheme="minorHAnsi" w:cstheme="minorHAnsi"/>
          <w:bCs/>
          <w:sz w:val="24"/>
          <w:szCs w:val="24"/>
          <w:lang w:eastAsia="es-ES"/>
        </w:rPr>
      </w:pPr>
    </w:p>
    <w:p w14:paraId="65105BDA" w14:textId="5B3C0A9B" w:rsidR="002F2AAC" w:rsidRPr="002F2AAC" w:rsidRDefault="002F2AAC" w:rsidP="00EF524A">
      <w:pPr>
        <w:autoSpaceDE w:val="0"/>
        <w:autoSpaceDN w:val="0"/>
        <w:adjustRightInd w:val="0"/>
        <w:spacing w:after="0" w:line="240" w:lineRule="auto"/>
        <w:jc w:val="both"/>
        <w:rPr>
          <w:rFonts w:asciiTheme="minorHAnsi" w:hAnsiTheme="minorHAnsi" w:cstheme="minorHAnsi"/>
          <w:color w:val="000000" w:themeColor="text1"/>
          <w:sz w:val="24"/>
          <w:szCs w:val="24"/>
          <w:lang w:val="gl-ES"/>
        </w:rPr>
      </w:pPr>
      <w:r w:rsidRPr="00C64130">
        <w:rPr>
          <w:rFonts w:asciiTheme="minorHAnsi" w:hAnsiTheme="minorHAnsi" w:cstheme="minorHAnsi"/>
          <w:bCs/>
          <w:sz w:val="24"/>
          <w:szCs w:val="24"/>
          <w:lang w:eastAsia="es-ES"/>
        </w:rPr>
        <w:t>O IEM fixo tamén a solicitude de persoamento no mesmo expediente (</w:t>
      </w:r>
      <w:r w:rsidR="00C64130" w:rsidRPr="00C64130">
        <w:rPr>
          <w:rFonts w:asciiTheme="minorHAnsi" w:hAnsiTheme="minorHAnsi" w:cstheme="minorHAnsi"/>
          <w:b/>
          <w:iCs/>
          <w:lang w:eastAsia="es-ES"/>
        </w:rPr>
        <w:t>IN408A 2020/24</w:t>
      </w:r>
      <w:r w:rsidRPr="00C64130">
        <w:rPr>
          <w:rFonts w:cstheme="minorHAnsi"/>
          <w:b/>
          <w:i/>
          <w:iCs/>
          <w:sz w:val="24"/>
          <w:szCs w:val="24"/>
        </w:rPr>
        <w:t>)</w:t>
      </w:r>
      <w:r w:rsidRPr="00C64130">
        <w:rPr>
          <w:rFonts w:cstheme="minorHAnsi"/>
          <w:iCs/>
          <w:sz w:val="24"/>
          <w:szCs w:val="24"/>
        </w:rPr>
        <w:t xml:space="preserve"> en data </w:t>
      </w:r>
      <w:r w:rsidR="00C64130" w:rsidRPr="00C64130">
        <w:rPr>
          <w:rFonts w:cstheme="minorHAnsi"/>
          <w:iCs/>
          <w:sz w:val="24"/>
          <w:szCs w:val="24"/>
        </w:rPr>
        <w:t>07</w:t>
      </w:r>
      <w:r w:rsidRPr="00C64130">
        <w:rPr>
          <w:rFonts w:cstheme="minorHAnsi"/>
          <w:iCs/>
          <w:sz w:val="24"/>
          <w:szCs w:val="24"/>
        </w:rPr>
        <w:t>/0</w:t>
      </w:r>
      <w:r w:rsidR="00C64130" w:rsidRPr="00C64130">
        <w:rPr>
          <w:rFonts w:cstheme="minorHAnsi"/>
          <w:iCs/>
          <w:sz w:val="24"/>
          <w:szCs w:val="24"/>
        </w:rPr>
        <w:t>3</w:t>
      </w:r>
      <w:r w:rsidRPr="00C64130">
        <w:rPr>
          <w:rFonts w:cstheme="minorHAnsi"/>
          <w:iCs/>
          <w:sz w:val="24"/>
          <w:szCs w:val="24"/>
        </w:rPr>
        <w:t>/2023 e nº de entrada: 2023/</w:t>
      </w:r>
      <w:r w:rsidR="00C64130" w:rsidRPr="00C64130">
        <w:rPr>
          <w:rFonts w:cstheme="minorHAnsi"/>
          <w:iCs/>
          <w:sz w:val="24"/>
          <w:szCs w:val="24"/>
        </w:rPr>
        <w:t>757399</w:t>
      </w:r>
      <w:r w:rsidRPr="00C64130">
        <w:rPr>
          <w:rFonts w:cstheme="minorHAnsi"/>
          <w:iCs/>
          <w:sz w:val="24"/>
          <w:szCs w:val="24"/>
        </w:rPr>
        <w:t xml:space="preserve"> e na mesma administración.</w:t>
      </w:r>
    </w:p>
    <w:p w14:paraId="51E192CD" w14:textId="77777777" w:rsidR="00BF27C2" w:rsidRDefault="00BF27C2" w:rsidP="004C4B07">
      <w:pPr>
        <w:spacing w:before="120" w:after="0" w:line="240" w:lineRule="auto"/>
        <w:jc w:val="both"/>
        <w:rPr>
          <w:rFonts w:asciiTheme="minorHAnsi" w:hAnsiTheme="minorHAnsi" w:cstheme="minorHAnsi"/>
          <w:sz w:val="24"/>
          <w:szCs w:val="24"/>
          <w:lang w:val="gl-ES"/>
        </w:rPr>
      </w:pPr>
    </w:p>
    <w:p w14:paraId="354B86E0" w14:textId="2C6A12E1" w:rsidR="006051E7" w:rsidRPr="009B1BBF" w:rsidRDefault="006051E7" w:rsidP="00246A53">
      <w:pPr>
        <w:pStyle w:val="Default"/>
        <w:numPr>
          <w:ilvl w:val="0"/>
          <w:numId w:val="11"/>
        </w:numPr>
        <w:shd w:val="clear" w:color="auto" w:fill="C6D9F1"/>
        <w:spacing w:before="120"/>
        <w:ind w:left="1843" w:hanging="1843"/>
        <w:jc w:val="both"/>
        <w:outlineLvl w:val="0"/>
        <w:rPr>
          <w:rFonts w:ascii="Calibri" w:hAnsi="Calibri" w:cs="Calibri"/>
          <w:b/>
          <w:bCs/>
        </w:rPr>
      </w:pPr>
      <w:bookmarkStart w:id="46" w:name="_Toc132510949"/>
      <w:r>
        <w:rPr>
          <w:rFonts w:ascii="Calibri" w:hAnsi="Calibri" w:cs="Calibri"/>
          <w:b/>
          <w:bCs/>
        </w:rPr>
        <w:lastRenderedPageBreak/>
        <w:t>Vulneración da Lei 7/2012 de 28 de xuño de Montes de Galicia ao eliminar a multifuncionalidade do monte.</w:t>
      </w:r>
      <w:bookmarkEnd w:id="46"/>
    </w:p>
    <w:p w14:paraId="79EAD541" w14:textId="1FFB1083" w:rsidR="00244D2F" w:rsidRDefault="0028028B" w:rsidP="006051E7">
      <w:pPr>
        <w:autoSpaceDE w:val="0"/>
        <w:autoSpaceDN w:val="0"/>
        <w:adjustRightInd w:val="0"/>
        <w:spacing w:after="0" w:line="240" w:lineRule="auto"/>
        <w:jc w:val="both"/>
        <w:rPr>
          <w:rFonts w:asciiTheme="minorHAnsi" w:eastAsiaTheme="minorHAnsi" w:hAnsiTheme="minorHAnsi" w:cstheme="minorHAnsi"/>
          <w:sz w:val="24"/>
          <w:szCs w:val="24"/>
        </w:rPr>
      </w:pPr>
      <w:r w:rsidRPr="006051E7">
        <w:rPr>
          <w:rFonts w:asciiTheme="minorHAnsi" w:eastAsiaTheme="minorHAnsi" w:hAnsiTheme="minorHAnsi" w:cstheme="minorHAnsi"/>
          <w:sz w:val="24"/>
          <w:szCs w:val="24"/>
        </w:rPr>
        <w:t xml:space="preserve">O monte é un sector estratéxico na economía galega que contribue a mitigar o cambio climático </w:t>
      </w:r>
      <w:r w:rsidR="006051E7">
        <w:rPr>
          <w:rFonts w:asciiTheme="minorHAnsi" w:eastAsiaTheme="minorHAnsi" w:hAnsiTheme="minorHAnsi" w:cstheme="minorHAnsi"/>
          <w:sz w:val="24"/>
          <w:szCs w:val="24"/>
        </w:rPr>
        <w:t>pola absorción de CO</w:t>
      </w:r>
      <w:r w:rsidR="006051E7" w:rsidRPr="006051E7">
        <w:rPr>
          <w:rFonts w:asciiTheme="minorHAnsi" w:eastAsiaTheme="minorHAnsi" w:hAnsiTheme="minorHAnsi" w:cstheme="minorHAnsi"/>
          <w:sz w:val="24"/>
          <w:szCs w:val="24"/>
          <w:vertAlign w:val="superscript"/>
        </w:rPr>
        <w:t>2</w:t>
      </w:r>
      <w:r w:rsidR="006051E7">
        <w:rPr>
          <w:rFonts w:asciiTheme="minorHAnsi" w:eastAsiaTheme="minorHAnsi" w:hAnsiTheme="minorHAnsi" w:cstheme="minorHAnsi"/>
          <w:sz w:val="24"/>
          <w:szCs w:val="24"/>
          <w:vertAlign w:val="superscript"/>
        </w:rPr>
        <w:t xml:space="preserve"> </w:t>
      </w:r>
      <w:r w:rsidRPr="006051E7">
        <w:rPr>
          <w:rFonts w:asciiTheme="minorHAnsi" w:eastAsiaTheme="minorHAnsi" w:hAnsiTheme="minorHAnsi" w:cstheme="minorHAnsi"/>
          <w:sz w:val="24"/>
          <w:szCs w:val="24"/>
        </w:rPr>
        <w:t xml:space="preserve">e á descarbonización da economía. </w:t>
      </w:r>
      <w:r w:rsidR="006051E7">
        <w:rPr>
          <w:rFonts w:asciiTheme="minorHAnsi" w:eastAsiaTheme="minorHAnsi" w:hAnsiTheme="minorHAnsi" w:cstheme="minorHAnsi"/>
          <w:sz w:val="24"/>
          <w:szCs w:val="24"/>
        </w:rPr>
        <w:t xml:space="preserve">Pensamos que a estas alturas, esta evidencia non debería precisar de explicación, pero </w:t>
      </w:r>
      <w:r w:rsidR="00244D2F">
        <w:rPr>
          <w:rFonts w:asciiTheme="minorHAnsi" w:eastAsiaTheme="minorHAnsi" w:hAnsiTheme="minorHAnsi" w:cstheme="minorHAnsi"/>
          <w:sz w:val="24"/>
          <w:szCs w:val="24"/>
        </w:rPr>
        <w:t xml:space="preserve">sorprendentemente o EsIA, (páxina </w:t>
      </w:r>
      <w:r w:rsidR="00BC37B0">
        <w:rPr>
          <w:rFonts w:asciiTheme="minorHAnsi" w:eastAsiaTheme="minorHAnsi" w:hAnsiTheme="minorHAnsi" w:cstheme="minorHAnsi"/>
          <w:sz w:val="24"/>
          <w:szCs w:val="24"/>
        </w:rPr>
        <w:t>26</w:t>
      </w:r>
      <w:r w:rsidR="00244D2F">
        <w:rPr>
          <w:rFonts w:asciiTheme="minorHAnsi" w:eastAsiaTheme="minorHAnsi" w:hAnsiTheme="minorHAnsi" w:cstheme="minorHAnsi"/>
          <w:sz w:val="24"/>
          <w:szCs w:val="24"/>
        </w:rPr>
        <w:t>) analizando as características máis relevantes da alternativa 0, e quen de afirmar que:</w:t>
      </w:r>
    </w:p>
    <w:p w14:paraId="56A62385" w14:textId="77777777" w:rsidR="00244D2F" w:rsidRDefault="00244D2F" w:rsidP="006051E7">
      <w:pPr>
        <w:autoSpaceDE w:val="0"/>
        <w:autoSpaceDN w:val="0"/>
        <w:adjustRightInd w:val="0"/>
        <w:spacing w:after="0" w:line="240" w:lineRule="auto"/>
        <w:jc w:val="both"/>
        <w:rPr>
          <w:rFonts w:asciiTheme="minorHAnsi" w:eastAsiaTheme="minorHAnsi" w:hAnsiTheme="minorHAnsi" w:cstheme="minorHAnsi"/>
          <w:sz w:val="24"/>
          <w:szCs w:val="24"/>
        </w:rPr>
      </w:pPr>
    </w:p>
    <w:p w14:paraId="3EAD7CD5" w14:textId="5D5FF7FC" w:rsidR="00244D2F" w:rsidRDefault="00BC37B0" w:rsidP="00BC37B0">
      <w:pPr>
        <w:autoSpaceDE w:val="0"/>
        <w:autoSpaceDN w:val="0"/>
        <w:adjustRightInd w:val="0"/>
        <w:spacing w:after="0" w:line="240" w:lineRule="auto"/>
        <w:ind w:left="708"/>
        <w:jc w:val="both"/>
        <w:rPr>
          <w:rFonts w:cs="Calibri"/>
          <w:i/>
          <w:sz w:val="18"/>
          <w:szCs w:val="18"/>
          <w:lang w:eastAsia="es-ES"/>
        </w:rPr>
      </w:pPr>
      <w:r w:rsidRPr="00BC37B0">
        <w:rPr>
          <w:rFonts w:cs="Calibri"/>
          <w:i/>
          <w:sz w:val="18"/>
          <w:szCs w:val="18"/>
          <w:lang w:eastAsia="es-ES"/>
        </w:rPr>
        <w:t>Por otra parte, la no puesta en marcha del proyecto implica indirectamente un</w:t>
      </w:r>
      <w:r>
        <w:rPr>
          <w:rFonts w:cs="Calibri"/>
          <w:i/>
          <w:sz w:val="18"/>
          <w:szCs w:val="18"/>
          <w:lang w:eastAsia="es-ES"/>
        </w:rPr>
        <w:t xml:space="preserve"> </w:t>
      </w:r>
      <w:r w:rsidRPr="00BC37B0">
        <w:rPr>
          <w:rFonts w:cs="Calibri"/>
          <w:i/>
          <w:sz w:val="18"/>
          <w:szCs w:val="18"/>
          <w:lang w:eastAsia="es-ES"/>
        </w:rPr>
        <w:t>aumento, o en el mejor de los casos una no disminución, de la emisión de carga</w:t>
      </w:r>
      <w:r>
        <w:rPr>
          <w:rFonts w:cs="Calibri"/>
          <w:i/>
          <w:sz w:val="18"/>
          <w:szCs w:val="18"/>
          <w:lang w:eastAsia="es-ES"/>
        </w:rPr>
        <w:t xml:space="preserve"> </w:t>
      </w:r>
      <w:r w:rsidRPr="00BC37B0">
        <w:rPr>
          <w:rFonts w:cs="Calibri"/>
          <w:i/>
          <w:sz w:val="18"/>
          <w:szCs w:val="18"/>
          <w:lang w:eastAsia="es-ES"/>
        </w:rPr>
        <w:t>contaminante a la atmósfera producida por la utilización de energías no renovables</w:t>
      </w:r>
      <w:r>
        <w:rPr>
          <w:rFonts w:cs="Calibri"/>
          <w:i/>
          <w:sz w:val="18"/>
          <w:szCs w:val="18"/>
          <w:lang w:eastAsia="es-ES"/>
        </w:rPr>
        <w:t xml:space="preserve"> </w:t>
      </w:r>
      <w:r w:rsidRPr="00BC37B0">
        <w:rPr>
          <w:rFonts w:cs="Calibri"/>
          <w:i/>
          <w:sz w:val="18"/>
          <w:szCs w:val="18"/>
          <w:lang w:eastAsia="es-ES"/>
        </w:rPr>
        <w:t>en la producción de energía eléctrica, impidiendo por tanto la contribución en la</w:t>
      </w:r>
      <w:r>
        <w:rPr>
          <w:rFonts w:cs="Calibri"/>
          <w:i/>
          <w:sz w:val="18"/>
          <w:szCs w:val="18"/>
          <w:lang w:eastAsia="es-ES"/>
        </w:rPr>
        <w:t xml:space="preserve"> </w:t>
      </w:r>
      <w:r w:rsidRPr="00BC37B0">
        <w:rPr>
          <w:rFonts w:cs="Calibri"/>
          <w:i/>
          <w:sz w:val="18"/>
          <w:szCs w:val="18"/>
          <w:lang w:eastAsia="es-ES"/>
        </w:rPr>
        <w:t>disminución de las emisiones, principalmente por la combustión de fuentes de</w:t>
      </w:r>
      <w:r>
        <w:rPr>
          <w:rFonts w:cs="Calibri"/>
          <w:i/>
          <w:sz w:val="18"/>
          <w:szCs w:val="18"/>
          <w:lang w:eastAsia="es-ES"/>
        </w:rPr>
        <w:t xml:space="preserve"> </w:t>
      </w:r>
      <w:r w:rsidRPr="00BC37B0">
        <w:rPr>
          <w:rFonts w:cs="Calibri"/>
          <w:i/>
          <w:sz w:val="18"/>
          <w:szCs w:val="18"/>
          <w:lang w:eastAsia="es-ES"/>
        </w:rPr>
        <w:t>energía fósil, de dióxido de carbono (CO2), y el apoyo al cumplimiento de los planes</w:t>
      </w:r>
      <w:r>
        <w:rPr>
          <w:rFonts w:cs="Calibri"/>
          <w:i/>
          <w:sz w:val="18"/>
          <w:szCs w:val="18"/>
          <w:lang w:eastAsia="es-ES"/>
        </w:rPr>
        <w:t xml:space="preserve"> </w:t>
      </w:r>
      <w:r w:rsidRPr="00BC37B0">
        <w:rPr>
          <w:rFonts w:cs="Calibri"/>
          <w:i/>
          <w:sz w:val="18"/>
          <w:szCs w:val="18"/>
          <w:lang w:eastAsia="es-ES"/>
        </w:rPr>
        <w:t>europeos para la disminución en la emisión de gases generadores de efecto</w:t>
      </w:r>
      <w:r>
        <w:rPr>
          <w:rFonts w:cs="Calibri"/>
          <w:i/>
          <w:sz w:val="18"/>
          <w:szCs w:val="18"/>
          <w:lang w:eastAsia="es-ES"/>
        </w:rPr>
        <w:t xml:space="preserve"> </w:t>
      </w:r>
      <w:r w:rsidRPr="00BC37B0">
        <w:rPr>
          <w:rFonts w:cs="Calibri"/>
          <w:i/>
          <w:sz w:val="18"/>
          <w:szCs w:val="18"/>
          <w:lang w:eastAsia="es-ES"/>
        </w:rPr>
        <w:t>invernadero.</w:t>
      </w:r>
    </w:p>
    <w:p w14:paraId="45B97768" w14:textId="77777777" w:rsidR="00BC37B0" w:rsidRPr="00BC37B0" w:rsidRDefault="00BC37B0" w:rsidP="00BC37B0">
      <w:pPr>
        <w:autoSpaceDE w:val="0"/>
        <w:autoSpaceDN w:val="0"/>
        <w:adjustRightInd w:val="0"/>
        <w:spacing w:after="0" w:line="240" w:lineRule="auto"/>
        <w:ind w:left="708"/>
        <w:jc w:val="both"/>
        <w:rPr>
          <w:rFonts w:asciiTheme="minorHAnsi" w:eastAsiaTheme="minorHAnsi" w:hAnsiTheme="minorHAnsi" w:cstheme="minorHAnsi"/>
          <w:i/>
          <w:sz w:val="18"/>
          <w:szCs w:val="18"/>
        </w:rPr>
      </w:pPr>
    </w:p>
    <w:p w14:paraId="2136016B" w14:textId="77777777" w:rsidR="005C7281" w:rsidRDefault="0028028B" w:rsidP="005C7281">
      <w:pPr>
        <w:autoSpaceDE w:val="0"/>
        <w:autoSpaceDN w:val="0"/>
        <w:adjustRightInd w:val="0"/>
        <w:spacing w:before="120" w:after="0" w:line="240" w:lineRule="auto"/>
        <w:jc w:val="both"/>
        <w:rPr>
          <w:rFonts w:asciiTheme="minorHAnsi" w:eastAsiaTheme="minorHAnsi" w:hAnsiTheme="minorHAnsi" w:cstheme="minorHAnsi"/>
          <w:sz w:val="24"/>
          <w:szCs w:val="24"/>
        </w:rPr>
      </w:pPr>
      <w:r w:rsidRPr="006051E7">
        <w:rPr>
          <w:rFonts w:asciiTheme="minorHAnsi" w:eastAsiaTheme="minorHAnsi" w:hAnsiTheme="minorHAnsi" w:cstheme="minorHAnsi"/>
          <w:sz w:val="24"/>
          <w:szCs w:val="24"/>
        </w:rPr>
        <w:t>A mercantil promotora non avalía o impacto da estación eólica e as súas infraestruturas de evacuación sobre o benestar das familias dos núcleos habitados e o posible éxodo poboacional que se pode dar</w:t>
      </w:r>
      <w:r w:rsidR="005C7281">
        <w:rPr>
          <w:rFonts w:asciiTheme="minorHAnsi" w:eastAsiaTheme="minorHAnsi" w:hAnsiTheme="minorHAnsi" w:cstheme="minorHAnsi"/>
          <w:sz w:val="24"/>
          <w:szCs w:val="24"/>
        </w:rPr>
        <w:t>,</w:t>
      </w:r>
      <w:r w:rsidRPr="006051E7">
        <w:rPr>
          <w:rFonts w:asciiTheme="minorHAnsi" w:eastAsiaTheme="minorHAnsi" w:hAnsiTheme="minorHAnsi" w:cstheme="minorHAnsi"/>
          <w:sz w:val="24"/>
          <w:szCs w:val="24"/>
        </w:rPr>
        <w:t xml:space="preserve"> derivado da </w:t>
      </w:r>
      <w:r w:rsidR="00244D2F">
        <w:rPr>
          <w:rFonts w:asciiTheme="minorHAnsi" w:eastAsiaTheme="minorHAnsi" w:hAnsiTheme="minorHAnsi" w:cstheme="minorHAnsi"/>
          <w:sz w:val="24"/>
          <w:szCs w:val="24"/>
        </w:rPr>
        <w:t xml:space="preserve">implantación de éstas instalación, </w:t>
      </w:r>
      <w:r w:rsidRPr="006051E7">
        <w:rPr>
          <w:rFonts w:asciiTheme="minorHAnsi" w:eastAsiaTheme="minorHAnsi" w:hAnsiTheme="minorHAnsi" w:cstheme="minorHAnsi"/>
          <w:sz w:val="24"/>
          <w:szCs w:val="24"/>
        </w:rPr>
        <w:t xml:space="preserve">que dificultan a vida no rural e a sustentabilidade e viabilidade das explotacións forestais e agro – gandeiras (fomentando o feito coñecido como despoboamento do rural ou España baleirada). </w:t>
      </w:r>
    </w:p>
    <w:p w14:paraId="3C7326B2" w14:textId="37C3ED61" w:rsidR="0028028B" w:rsidRDefault="0028028B" w:rsidP="005C7281">
      <w:pPr>
        <w:autoSpaceDE w:val="0"/>
        <w:autoSpaceDN w:val="0"/>
        <w:adjustRightInd w:val="0"/>
        <w:spacing w:before="120" w:after="0" w:line="240" w:lineRule="auto"/>
        <w:jc w:val="both"/>
        <w:rPr>
          <w:rFonts w:asciiTheme="minorHAnsi" w:eastAsiaTheme="minorHAnsi" w:hAnsiTheme="minorHAnsi" w:cstheme="minorHAnsi"/>
          <w:sz w:val="24"/>
          <w:szCs w:val="24"/>
        </w:rPr>
      </w:pPr>
      <w:r w:rsidRPr="006051E7">
        <w:rPr>
          <w:rFonts w:asciiTheme="minorHAnsi" w:eastAsiaTheme="minorHAnsi" w:hAnsiTheme="minorHAnsi" w:cstheme="minorHAnsi"/>
          <w:sz w:val="24"/>
          <w:szCs w:val="24"/>
        </w:rPr>
        <w:t xml:space="preserve">A este respecto debera informar a Dirección Xeral de Defensa do Monte da Consellería de Medio Rural da Xunta de Galicia e á luz da exposición de motivos </w:t>
      </w:r>
      <w:r w:rsidR="00244D2F">
        <w:rPr>
          <w:rFonts w:asciiTheme="minorHAnsi" w:eastAsiaTheme="minorHAnsi" w:hAnsiTheme="minorHAnsi" w:cstheme="minorHAnsi"/>
          <w:sz w:val="24"/>
          <w:szCs w:val="24"/>
        </w:rPr>
        <w:t xml:space="preserve">da </w:t>
      </w:r>
      <w:hyperlink r:id="rId62" w:history="1">
        <w:r w:rsidR="00244D2F" w:rsidRPr="00B82DAC">
          <w:rPr>
            <w:rStyle w:val="Hipervnculo"/>
            <w:rFonts w:asciiTheme="minorHAnsi" w:eastAsiaTheme="minorHAnsi" w:hAnsiTheme="minorHAnsi" w:cstheme="minorHAnsi"/>
            <w:sz w:val="24"/>
            <w:szCs w:val="24"/>
          </w:rPr>
          <w:t>Lei 7/2012 de 28</w:t>
        </w:r>
        <w:r w:rsidR="00B82DAC" w:rsidRPr="00B82DAC">
          <w:rPr>
            <w:rStyle w:val="Hipervnculo"/>
            <w:rFonts w:asciiTheme="minorHAnsi" w:eastAsiaTheme="minorHAnsi" w:hAnsiTheme="minorHAnsi" w:cstheme="minorHAnsi"/>
            <w:sz w:val="24"/>
            <w:szCs w:val="24"/>
          </w:rPr>
          <w:t xml:space="preserve"> </w:t>
        </w:r>
        <w:r w:rsidR="00244D2F" w:rsidRPr="00B82DAC">
          <w:rPr>
            <w:rStyle w:val="Hipervnculo"/>
            <w:rFonts w:asciiTheme="minorHAnsi" w:eastAsiaTheme="minorHAnsi" w:hAnsiTheme="minorHAnsi" w:cstheme="minorHAnsi"/>
            <w:sz w:val="24"/>
            <w:szCs w:val="24"/>
          </w:rPr>
          <w:t>de xuño</w:t>
        </w:r>
      </w:hyperlink>
      <w:r w:rsidR="00B82DAC">
        <w:rPr>
          <w:rStyle w:val="Refdenotaalpie"/>
          <w:rFonts w:asciiTheme="minorHAnsi" w:eastAsiaTheme="minorHAnsi" w:hAnsiTheme="minorHAnsi"/>
          <w:sz w:val="24"/>
          <w:szCs w:val="24"/>
        </w:rPr>
        <w:footnoteReference w:id="49"/>
      </w:r>
      <w:r w:rsidR="00244D2F">
        <w:rPr>
          <w:rFonts w:asciiTheme="minorHAnsi" w:eastAsiaTheme="minorHAnsi" w:hAnsiTheme="minorHAnsi" w:cstheme="minorHAnsi"/>
          <w:sz w:val="24"/>
          <w:szCs w:val="24"/>
        </w:rPr>
        <w:t xml:space="preserve">, </w:t>
      </w:r>
      <w:r w:rsidRPr="006051E7">
        <w:rPr>
          <w:rFonts w:asciiTheme="minorHAnsi" w:eastAsiaTheme="minorHAnsi" w:hAnsiTheme="minorHAnsi" w:cstheme="minorHAnsi"/>
          <w:sz w:val="24"/>
          <w:szCs w:val="24"/>
        </w:rPr>
        <w:t xml:space="preserve">e </w:t>
      </w:r>
      <w:r w:rsidR="00244D2F">
        <w:rPr>
          <w:rFonts w:asciiTheme="minorHAnsi" w:eastAsiaTheme="minorHAnsi" w:hAnsiTheme="minorHAnsi" w:cstheme="minorHAnsi"/>
          <w:sz w:val="24"/>
          <w:szCs w:val="24"/>
        </w:rPr>
        <w:t xml:space="preserve">concretamente o seu artigo </w:t>
      </w:r>
      <w:r w:rsidRPr="006051E7">
        <w:rPr>
          <w:rFonts w:asciiTheme="minorHAnsi" w:eastAsiaTheme="minorHAnsi" w:hAnsiTheme="minorHAnsi" w:cstheme="minorHAnsi"/>
          <w:sz w:val="24"/>
          <w:szCs w:val="24"/>
        </w:rPr>
        <w:t>5</w:t>
      </w:r>
      <w:r w:rsidR="00244D2F">
        <w:rPr>
          <w:rFonts w:asciiTheme="minorHAnsi" w:eastAsiaTheme="minorHAnsi" w:hAnsiTheme="minorHAnsi" w:cstheme="minorHAnsi"/>
          <w:sz w:val="24"/>
          <w:szCs w:val="24"/>
        </w:rPr>
        <w:t>,</w:t>
      </w:r>
      <w:r w:rsidRPr="006051E7">
        <w:rPr>
          <w:rFonts w:asciiTheme="minorHAnsi" w:eastAsiaTheme="minorHAnsi" w:hAnsiTheme="minorHAnsi" w:cstheme="minorHAnsi"/>
          <w:sz w:val="24"/>
          <w:szCs w:val="24"/>
        </w:rPr>
        <w:t xml:space="preserve"> se informe sobre a prevalencia do uso forestal sobre o uso eólico e a incompatibilidade deste, dentro da superficie afectada pola poligonal do parque eólico, en tanto en canto como ben di a exposición de motivos da referida lei, o monte galego é unha fonte de riqueza que xera emprego estable, descarboniza a economía, cumpre co protocolo de Kioto e realiza unha contribución importante ao PIB galego. </w:t>
      </w:r>
    </w:p>
    <w:p w14:paraId="6C5690D0" w14:textId="77777777" w:rsidR="00B82DAC" w:rsidRDefault="00B82DAC" w:rsidP="00B82DAC">
      <w:pPr>
        <w:autoSpaceDE w:val="0"/>
        <w:autoSpaceDN w:val="0"/>
        <w:adjustRightInd w:val="0"/>
        <w:spacing w:after="0" w:line="240" w:lineRule="auto"/>
        <w:jc w:val="both"/>
        <w:rPr>
          <w:rFonts w:asciiTheme="minorHAnsi" w:eastAsiaTheme="minorHAnsi" w:hAnsiTheme="minorHAnsi" w:cstheme="minorHAnsi"/>
          <w:sz w:val="24"/>
          <w:szCs w:val="24"/>
        </w:rPr>
      </w:pPr>
    </w:p>
    <w:p w14:paraId="2BB35870" w14:textId="77777777" w:rsidR="00B82DAC" w:rsidRPr="00B82DAC" w:rsidRDefault="00B82DAC" w:rsidP="00B82DAC">
      <w:pPr>
        <w:ind w:left="708"/>
        <w:rPr>
          <w:rFonts w:asciiTheme="minorHAnsi" w:eastAsiaTheme="minorHAnsi" w:hAnsiTheme="minorHAnsi" w:cstheme="minorHAnsi"/>
          <w:b/>
          <w:i/>
          <w:sz w:val="20"/>
          <w:szCs w:val="20"/>
        </w:rPr>
      </w:pPr>
      <w:r w:rsidRPr="00B82DAC">
        <w:rPr>
          <w:rFonts w:asciiTheme="minorHAnsi" w:eastAsiaTheme="minorHAnsi" w:hAnsiTheme="minorHAnsi" w:cstheme="minorHAnsi"/>
          <w:b/>
          <w:i/>
          <w:sz w:val="20"/>
          <w:szCs w:val="20"/>
        </w:rPr>
        <w:t>LEI 7/2012, do 28 de xuño, de montes de Galicia.</w:t>
      </w:r>
    </w:p>
    <w:p w14:paraId="1A5495BC" w14:textId="77777777" w:rsidR="00B82DAC" w:rsidRPr="00B82DAC" w:rsidRDefault="00B82DAC" w:rsidP="00B82DAC">
      <w:pPr>
        <w:ind w:left="708"/>
        <w:jc w:val="both"/>
        <w:rPr>
          <w:rFonts w:asciiTheme="minorHAnsi" w:eastAsiaTheme="minorHAnsi" w:hAnsiTheme="minorHAnsi" w:cstheme="minorHAnsi"/>
          <w:i/>
          <w:sz w:val="20"/>
          <w:szCs w:val="20"/>
        </w:rPr>
      </w:pPr>
      <w:r w:rsidRPr="00B82DAC">
        <w:rPr>
          <w:rFonts w:asciiTheme="minorHAnsi" w:eastAsiaTheme="minorHAnsi" w:hAnsiTheme="minorHAnsi" w:cstheme="minorHAnsi"/>
          <w:i/>
          <w:sz w:val="20"/>
          <w:szCs w:val="20"/>
        </w:rPr>
        <w:t>Exposición de motivos</w:t>
      </w:r>
    </w:p>
    <w:p w14:paraId="3A0106FE" w14:textId="77777777" w:rsidR="00B82DAC" w:rsidRPr="00B82DAC" w:rsidRDefault="00B82DAC" w:rsidP="00360F6A">
      <w:pPr>
        <w:ind w:left="1416"/>
        <w:jc w:val="both"/>
        <w:rPr>
          <w:rFonts w:asciiTheme="minorHAnsi" w:eastAsiaTheme="minorHAnsi" w:hAnsiTheme="minorHAnsi" w:cstheme="minorHAnsi"/>
          <w:i/>
          <w:sz w:val="20"/>
          <w:szCs w:val="20"/>
        </w:rPr>
      </w:pPr>
      <w:r w:rsidRPr="00B82DAC">
        <w:rPr>
          <w:rFonts w:asciiTheme="minorHAnsi" w:eastAsiaTheme="minorHAnsi" w:hAnsiTheme="minorHAnsi" w:cstheme="minorHAnsi"/>
          <w:i/>
          <w:sz w:val="20"/>
          <w:szCs w:val="20"/>
        </w:rPr>
        <w:t>O monte, ademais da importancia económica e social referenciada en Galicia, ten unha función medioambiental que se recoñece e acrecenta progresivamente. A relación da sociedade galega co monte evolucionou considerablemente desde o último terzo do século pasado, xerando unha nova configuración baseada na esixencia do desenvolvemento sustentable e do aproveitamento racional dos recursos forestais. Así, os bosques aparecen como un elemento básico da estratexia ambiental como reservorios e depósitos de fixación de carbono, que chegan a fixar hoxe máis de 42 millóns de toneladas, o que os converte en piares fundamentais para o cumprimento dos compromisos adquiridos no protocolo de Quioto.</w:t>
      </w:r>
    </w:p>
    <w:p w14:paraId="547612DE" w14:textId="77777777" w:rsidR="00B82DAC" w:rsidRPr="00B82DAC" w:rsidRDefault="00B82DAC" w:rsidP="00360F6A">
      <w:pPr>
        <w:ind w:left="1416"/>
        <w:jc w:val="both"/>
        <w:rPr>
          <w:rFonts w:asciiTheme="minorHAnsi" w:eastAsiaTheme="minorHAnsi" w:hAnsiTheme="minorHAnsi" w:cstheme="minorHAnsi"/>
          <w:i/>
          <w:sz w:val="20"/>
          <w:szCs w:val="20"/>
        </w:rPr>
      </w:pPr>
      <w:r w:rsidRPr="00B82DAC">
        <w:rPr>
          <w:rFonts w:asciiTheme="minorHAnsi" w:eastAsiaTheme="minorHAnsi" w:hAnsiTheme="minorHAnsi" w:cstheme="minorHAnsi"/>
          <w:i/>
          <w:sz w:val="20"/>
          <w:szCs w:val="20"/>
        </w:rPr>
        <w:t>…</w:t>
      </w:r>
    </w:p>
    <w:p w14:paraId="50BEAB42" w14:textId="77777777" w:rsidR="00B82DAC" w:rsidRPr="00B82DAC" w:rsidRDefault="00B82DAC" w:rsidP="00360F6A">
      <w:pPr>
        <w:ind w:left="1416"/>
        <w:jc w:val="both"/>
        <w:rPr>
          <w:rFonts w:asciiTheme="minorHAnsi" w:eastAsiaTheme="minorHAnsi" w:hAnsiTheme="minorHAnsi" w:cstheme="minorHAnsi"/>
          <w:i/>
          <w:sz w:val="20"/>
          <w:szCs w:val="20"/>
        </w:rPr>
      </w:pPr>
      <w:r w:rsidRPr="00B82DAC">
        <w:rPr>
          <w:rFonts w:asciiTheme="minorHAnsi" w:eastAsiaTheme="minorHAnsi" w:hAnsiTheme="minorHAnsi" w:cstheme="minorHAnsi"/>
          <w:i/>
          <w:sz w:val="20"/>
          <w:szCs w:val="20"/>
        </w:rPr>
        <w:t>O monte é, ademais, un espazo que determina a paisaxe e a identidade da nosa comunidade, ao tempo que ten un compoñente social de recreo, de lugar de encontro, lúdico e de gozo dos cidadáns. A lei trata de compatibilizar a funcionalidade medioambiental, social e estética do monte, cuxos beneficios intanxibles son aproveitados por toda a sociedade, e uns lexítimos beneficios directos que corresponden aos seus titulares. De aí que a lei persiga, como un dos seus obxectivos fundamentais, adaptar a realidade forestal galega ás esixencias, cada vez maiores, dunha sociedade, madura e moderna, como a de Galicia, que debe cohonestarse cos dereitos á percepción de rendas, froitos e utilidades dos propietarios forestais e dos silvicultores.</w:t>
      </w:r>
    </w:p>
    <w:p w14:paraId="0CAA28AF" w14:textId="77777777" w:rsidR="00B82DAC" w:rsidRPr="00B82DAC" w:rsidRDefault="00B82DAC" w:rsidP="00360F6A">
      <w:pPr>
        <w:ind w:left="1416"/>
        <w:jc w:val="both"/>
        <w:rPr>
          <w:rFonts w:asciiTheme="minorHAnsi" w:eastAsiaTheme="minorHAnsi" w:hAnsiTheme="minorHAnsi" w:cstheme="minorHAnsi"/>
          <w:i/>
          <w:sz w:val="20"/>
          <w:szCs w:val="20"/>
        </w:rPr>
      </w:pPr>
      <w:r w:rsidRPr="00B82DAC">
        <w:rPr>
          <w:rFonts w:asciiTheme="minorHAnsi" w:eastAsiaTheme="minorHAnsi" w:hAnsiTheme="minorHAnsi" w:cstheme="minorHAnsi"/>
          <w:i/>
          <w:sz w:val="20"/>
          <w:szCs w:val="20"/>
        </w:rPr>
        <w:lastRenderedPageBreak/>
        <w:t>O monte, ademais da importancia económica e social referenciada en Galicia, ten unha función medioambiental que se recoñece e acrecenta progresivamente. A relación da sociedade galega co monte evolucionou considerablemente desde o último terzo do século pasado, xerando unha nova configuración baseada na esixencia do desenvolvemento sustentable e do aproveitamento racional dos recursos forestais. Así, os bosques aparecen como un elemento básico da estratexia ambiental como reservorios e depósitos de fixación de carbono, que chegan a fixar hoxe máis de 42 millóns de toneladas, o que os converte en piares fundamentais para o cumprimento dos compromisos adquiridos no protocolo de Quioto.</w:t>
      </w:r>
    </w:p>
    <w:p w14:paraId="76E773FF" w14:textId="77777777" w:rsidR="00B82DAC" w:rsidRPr="00B82DAC" w:rsidRDefault="00B82DAC" w:rsidP="00360F6A">
      <w:pPr>
        <w:ind w:left="1416"/>
        <w:jc w:val="both"/>
        <w:rPr>
          <w:rFonts w:asciiTheme="minorHAnsi" w:eastAsiaTheme="minorHAnsi" w:hAnsiTheme="minorHAnsi" w:cstheme="minorHAnsi"/>
          <w:i/>
          <w:sz w:val="20"/>
          <w:szCs w:val="20"/>
        </w:rPr>
      </w:pPr>
      <w:r w:rsidRPr="00B82DAC">
        <w:rPr>
          <w:rFonts w:asciiTheme="minorHAnsi" w:eastAsiaTheme="minorHAnsi" w:hAnsiTheme="minorHAnsi" w:cstheme="minorHAnsi"/>
          <w:i/>
          <w:sz w:val="20"/>
          <w:szCs w:val="20"/>
        </w:rPr>
        <w:t>…</w:t>
      </w:r>
    </w:p>
    <w:p w14:paraId="285A0735" w14:textId="77777777" w:rsidR="00B82DAC" w:rsidRDefault="00B82DAC" w:rsidP="00360F6A">
      <w:pPr>
        <w:ind w:left="1416"/>
        <w:jc w:val="both"/>
        <w:rPr>
          <w:rFonts w:asciiTheme="minorHAnsi" w:eastAsiaTheme="minorHAnsi" w:hAnsiTheme="minorHAnsi" w:cstheme="minorHAnsi"/>
          <w:i/>
          <w:sz w:val="20"/>
          <w:szCs w:val="20"/>
        </w:rPr>
      </w:pPr>
      <w:r w:rsidRPr="00B82DAC">
        <w:rPr>
          <w:rFonts w:asciiTheme="minorHAnsi" w:eastAsiaTheme="minorHAnsi" w:hAnsiTheme="minorHAnsi" w:cstheme="minorHAnsi"/>
          <w:i/>
          <w:sz w:val="20"/>
          <w:szCs w:val="20"/>
        </w:rPr>
        <w:t>O monte é, ademais, un espazo que determina a paisaxe e a identidade da nosa comunidade, ao tempo que ten un compoñente social de recreo, de lugar de encontro, lúdico e de gozo dos cidadáns. A lei trata de compatibilizar a funcionalidade medioambiental, social e estética do monte, cuxos beneficios intanxibles son aproveitados por toda a sociedade, e uns lexítimos beneficios directos que corresponden aos seus titulares. De aí que a lei persiga, como un dos seus obxectivos fundamentais, adaptar a realidade forestal galega ás esixencias, cada vez maiores, dunha sociedade, madura e moderna, como a de Galicia, que debe cohonestarse cos dereitos á percepción de rendas, froitos e utilidades dos propietarios forestais e dos silvicultores.</w:t>
      </w:r>
    </w:p>
    <w:p w14:paraId="0FE90961" w14:textId="30C8919B" w:rsidR="00360F6A" w:rsidRDefault="00360F6A" w:rsidP="00B82DAC">
      <w:pPr>
        <w:ind w:left="708"/>
        <w:jc w:val="both"/>
        <w:rPr>
          <w:rFonts w:asciiTheme="minorHAnsi" w:eastAsiaTheme="minorHAnsi" w:hAnsiTheme="minorHAnsi" w:cstheme="minorHAnsi"/>
          <w:i/>
          <w:sz w:val="20"/>
          <w:szCs w:val="20"/>
        </w:rPr>
      </w:pPr>
      <w:r>
        <w:rPr>
          <w:rFonts w:asciiTheme="minorHAnsi" w:eastAsiaTheme="minorHAnsi" w:hAnsiTheme="minorHAnsi" w:cstheme="minorHAnsi"/>
          <w:i/>
          <w:sz w:val="20"/>
          <w:szCs w:val="20"/>
        </w:rPr>
        <w:t>…</w:t>
      </w:r>
    </w:p>
    <w:p w14:paraId="416985F1" w14:textId="77777777" w:rsidR="00360F6A" w:rsidRPr="00360F6A" w:rsidRDefault="00360F6A" w:rsidP="00360F6A">
      <w:pPr>
        <w:ind w:left="708"/>
        <w:jc w:val="both"/>
        <w:rPr>
          <w:rFonts w:asciiTheme="minorHAnsi" w:eastAsiaTheme="minorHAnsi" w:hAnsiTheme="minorHAnsi" w:cstheme="minorHAnsi"/>
          <w:b/>
          <w:i/>
          <w:sz w:val="20"/>
          <w:szCs w:val="20"/>
        </w:rPr>
      </w:pPr>
      <w:r w:rsidRPr="00360F6A">
        <w:rPr>
          <w:rFonts w:asciiTheme="minorHAnsi" w:eastAsiaTheme="minorHAnsi" w:hAnsiTheme="minorHAnsi" w:cstheme="minorHAnsi"/>
          <w:b/>
          <w:i/>
          <w:sz w:val="20"/>
          <w:szCs w:val="20"/>
        </w:rPr>
        <w:t>Artigo 5. Función social dos montes</w:t>
      </w:r>
    </w:p>
    <w:p w14:paraId="084456A1" w14:textId="77777777" w:rsidR="00360F6A" w:rsidRPr="00360F6A" w:rsidRDefault="00360F6A" w:rsidP="00360F6A">
      <w:pPr>
        <w:ind w:left="1416"/>
        <w:jc w:val="both"/>
        <w:rPr>
          <w:rFonts w:asciiTheme="minorHAnsi" w:eastAsiaTheme="minorHAnsi" w:hAnsiTheme="minorHAnsi" w:cstheme="minorHAnsi"/>
          <w:i/>
          <w:sz w:val="20"/>
          <w:szCs w:val="20"/>
        </w:rPr>
      </w:pPr>
      <w:r w:rsidRPr="00360F6A">
        <w:rPr>
          <w:rFonts w:asciiTheme="minorHAnsi" w:eastAsiaTheme="minorHAnsi" w:hAnsiTheme="minorHAnsi" w:cstheme="minorHAnsi"/>
          <w:i/>
          <w:sz w:val="20"/>
          <w:szCs w:val="20"/>
        </w:rPr>
        <w:t>1. Os terreos forestais galegos constitúen un recurso estratéxico que deberá contribuír ao desenvolvemento socioeconómico de Galicia, xerando rendas e emprego na Comunidade Autónoma mediante un aproveitamento sustentable dos seus recursos e servizos.</w:t>
      </w:r>
    </w:p>
    <w:p w14:paraId="40BC1D6E" w14:textId="77777777" w:rsidR="00360F6A" w:rsidRPr="00360F6A" w:rsidRDefault="00360F6A" w:rsidP="00360F6A">
      <w:pPr>
        <w:ind w:left="1416"/>
        <w:jc w:val="both"/>
        <w:rPr>
          <w:rFonts w:asciiTheme="minorHAnsi" w:eastAsiaTheme="minorHAnsi" w:hAnsiTheme="minorHAnsi" w:cstheme="minorHAnsi"/>
          <w:i/>
          <w:sz w:val="20"/>
          <w:szCs w:val="20"/>
        </w:rPr>
      </w:pPr>
      <w:r w:rsidRPr="00360F6A">
        <w:rPr>
          <w:rFonts w:asciiTheme="minorHAnsi" w:eastAsiaTheme="minorHAnsi" w:hAnsiTheme="minorHAnsi" w:cstheme="minorHAnsi"/>
          <w:i/>
          <w:sz w:val="20"/>
          <w:szCs w:val="20"/>
        </w:rPr>
        <w:t>2. Os montes desenvolven unha función social relevante, nos termos do artigo 4 da Lei 43/2003, do 21 de novembro, de montes.</w:t>
      </w:r>
    </w:p>
    <w:p w14:paraId="0BC1CE9E" w14:textId="77777777" w:rsidR="00360F6A" w:rsidRPr="00360F6A" w:rsidRDefault="00360F6A" w:rsidP="00360F6A">
      <w:pPr>
        <w:ind w:left="1416"/>
        <w:jc w:val="both"/>
        <w:rPr>
          <w:rFonts w:asciiTheme="minorHAnsi" w:eastAsiaTheme="minorHAnsi" w:hAnsiTheme="minorHAnsi" w:cstheme="minorHAnsi"/>
          <w:i/>
          <w:sz w:val="20"/>
          <w:szCs w:val="20"/>
        </w:rPr>
      </w:pPr>
      <w:r w:rsidRPr="00360F6A">
        <w:rPr>
          <w:rFonts w:asciiTheme="minorHAnsi" w:eastAsiaTheme="minorHAnsi" w:hAnsiTheme="minorHAnsi" w:cstheme="minorHAnsi"/>
          <w:i/>
          <w:sz w:val="20"/>
          <w:szCs w:val="20"/>
        </w:rPr>
        <w:t>3. A consellaría competente en materia forestal promoverá a dispoñibilidade de montes ou terreos forestais para fins sociais, educativos, ambientais e recreativos, compatibilizados coa súa potencialidade e utilización forestal.</w:t>
      </w:r>
    </w:p>
    <w:p w14:paraId="7A198E00" w14:textId="25204C15" w:rsidR="00360F6A" w:rsidRPr="00360F6A" w:rsidRDefault="00360F6A" w:rsidP="00360F6A">
      <w:pPr>
        <w:ind w:left="1416"/>
        <w:jc w:val="both"/>
        <w:rPr>
          <w:rFonts w:asciiTheme="minorHAnsi" w:eastAsiaTheme="minorHAnsi" w:hAnsiTheme="minorHAnsi" w:cstheme="minorHAnsi"/>
          <w:i/>
          <w:sz w:val="20"/>
          <w:szCs w:val="20"/>
        </w:rPr>
      </w:pPr>
      <w:r w:rsidRPr="00360F6A">
        <w:rPr>
          <w:rFonts w:asciiTheme="minorHAnsi" w:eastAsiaTheme="minorHAnsi" w:hAnsiTheme="minorHAnsi" w:cstheme="minorHAnsi"/>
          <w:i/>
          <w:sz w:val="20"/>
          <w:szCs w:val="20"/>
        </w:rPr>
        <w:t>4. A conservación, a expansión e o aproveitamento das masas forestais, segundo os criterios de xestión forestal sustentable e o disposto nesta lei, son de interese público, sen prexuízo do réxime da propiedade</w:t>
      </w:r>
    </w:p>
    <w:p w14:paraId="3B0E4CFA" w14:textId="77777777" w:rsidR="00B82DAC" w:rsidRPr="006051E7" w:rsidRDefault="00B82DAC" w:rsidP="00B82DAC">
      <w:pPr>
        <w:autoSpaceDE w:val="0"/>
        <w:autoSpaceDN w:val="0"/>
        <w:adjustRightInd w:val="0"/>
        <w:spacing w:after="0" w:line="240" w:lineRule="auto"/>
        <w:jc w:val="both"/>
        <w:rPr>
          <w:rFonts w:asciiTheme="minorHAnsi" w:eastAsiaTheme="minorHAnsi" w:hAnsiTheme="minorHAnsi" w:cstheme="minorHAnsi"/>
          <w:sz w:val="24"/>
          <w:szCs w:val="24"/>
        </w:rPr>
      </w:pPr>
    </w:p>
    <w:p w14:paraId="28A05062" w14:textId="77777777" w:rsidR="0028028B" w:rsidRDefault="0028028B" w:rsidP="006051E7">
      <w:pPr>
        <w:autoSpaceDE w:val="0"/>
        <w:autoSpaceDN w:val="0"/>
        <w:adjustRightInd w:val="0"/>
        <w:spacing w:after="0" w:line="240" w:lineRule="auto"/>
        <w:jc w:val="both"/>
        <w:rPr>
          <w:rFonts w:asciiTheme="minorHAnsi" w:eastAsiaTheme="minorHAnsi" w:hAnsiTheme="minorHAnsi" w:cstheme="minorHAnsi"/>
          <w:sz w:val="24"/>
          <w:szCs w:val="24"/>
        </w:rPr>
      </w:pPr>
      <w:r w:rsidRPr="006051E7">
        <w:rPr>
          <w:rFonts w:asciiTheme="minorHAnsi" w:eastAsiaTheme="minorHAnsi" w:hAnsiTheme="minorHAnsi" w:cstheme="minorHAnsi"/>
          <w:sz w:val="24"/>
          <w:szCs w:val="24"/>
        </w:rPr>
        <w:t xml:space="preserve">Como ben indica o artigo 25 da Lei 7/2021, do 20 de maio, de cambio climático e transición enerxética, relativo ao “Desenvolvemento rural: política agraria, política forestal e enerxías renovables”: </w:t>
      </w:r>
    </w:p>
    <w:p w14:paraId="0CA096F1" w14:textId="77777777" w:rsidR="00B82DAC" w:rsidRPr="006051E7" w:rsidRDefault="00B82DAC" w:rsidP="006051E7">
      <w:pPr>
        <w:autoSpaceDE w:val="0"/>
        <w:autoSpaceDN w:val="0"/>
        <w:adjustRightInd w:val="0"/>
        <w:spacing w:after="0" w:line="240" w:lineRule="auto"/>
        <w:jc w:val="both"/>
        <w:rPr>
          <w:rFonts w:asciiTheme="minorHAnsi" w:eastAsiaTheme="minorHAnsi" w:hAnsiTheme="minorHAnsi" w:cstheme="minorHAnsi"/>
          <w:sz w:val="24"/>
          <w:szCs w:val="24"/>
        </w:rPr>
      </w:pPr>
    </w:p>
    <w:p w14:paraId="293891A6" w14:textId="77777777" w:rsidR="0028028B" w:rsidRDefault="0028028B" w:rsidP="00B82DAC">
      <w:pPr>
        <w:spacing w:after="0" w:line="240" w:lineRule="auto"/>
        <w:ind w:left="708"/>
        <w:jc w:val="both"/>
        <w:rPr>
          <w:rFonts w:asciiTheme="minorHAnsi" w:eastAsiaTheme="minorHAnsi" w:hAnsiTheme="minorHAnsi" w:cstheme="minorHAnsi"/>
          <w:i/>
          <w:iCs/>
          <w:sz w:val="20"/>
          <w:szCs w:val="20"/>
        </w:rPr>
      </w:pPr>
      <w:r w:rsidRPr="00B82DAC">
        <w:rPr>
          <w:rFonts w:asciiTheme="minorHAnsi" w:eastAsiaTheme="minorHAnsi" w:hAnsiTheme="minorHAnsi" w:cstheme="minorHAnsi"/>
          <w:i/>
          <w:iCs/>
          <w:sz w:val="20"/>
          <w:szCs w:val="20"/>
        </w:rPr>
        <w:t xml:space="preserve">“O Goberno incorporará na aplicación da Política Agraria Común, así como noutras estratexias, plans e programas en materia de política agraria e de desenvolvemento rural, e no Plan Forestal Español, medidas encamiñadas a reducir a vulnerabilidade ao cambio climático dos chans agrícolas, dos montes e dos chans forestais e para facilitar a preservación dos mesmos, entre elas, a elaboración dun mapa de vulnerabilidade, así como a avaliación e promoción de sistemas agrícolas e prácticas de xestión forestal sostibles para aumentar a súa resiliencia fronte ao cambio climático, que fomentarán en todo caso as sinerxias coa redución de emisións de gases de efecto invernadoiro nestes ecosistemas”. </w:t>
      </w:r>
    </w:p>
    <w:p w14:paraId="07CB5ACB" w14:textId="77777777" w:rsidR="00B82DAC" w:rsidRPr="00B82DAC" w:rsidRDefault="00B82DAC" w:rsidP="00B82DAC">
      <w:pPr>
        <w:spacing w:after="0" w:line="240" w:lineRule="auto"/>
        <w:ind w:left="708"/>
        <w:jc w:val="both"/>
        <w:rPr>
          <w:rFonts w:asciiTheme="minorHAnsi" w:eastAsiaTheme="minorHAnsi" w:hAnsiTheme="minorHAnsi" w:cstheme="minorHAnsi"/>
          <w:i/>
          <w:iCs/>
          <w:sz w:val="20"/>
          <w:szCs w:val="20"/>
        </w:rPr>
      </w:pPr>
    </w:p>
    <w:p w14:paraId="2D126B5C" w14:textId="3E6B3A78" w:rsidR="0028028B" w:rsidRPr="007C156C" w:rsidRDefault="0028028B" w:rsidP="0028028B">
      <w:pPr>
        <w:rPr>
          <w:rFonts w:ascii="Arial Narrow" w:eastAsiaTheme="minorHAnsi" w:hAnsi="Arial Narrow" w:cstheme="minorBidi"/>
        </w:rPr>
      </w:pPr>
      <w:r w:rsidRPr="007C156C">
        <w:rPr>
          <w:rFonts w:ascii="Arial Narrow" w:eastAsiaTheme="minorHAnsi" w:hAnsi="Arial Narrow" w:cstheme="minorBidi"/>
        </w:rPr>
        <w:lastRenderedPageBreak/>
        <w:t xml:space="preserve">E cómpre ter moi en conta o artigo 4 da </w:t>
      </w:r>
      <w:hyperlink r:id="rId63" w:history="1">
        <w:r w:rsidRPr="00360F6A">
          <w:rPr>
            <w:rStyle w:val="Hipervnculo"/>
            <w:rFonts w:ascii="Arial Narrow" w:eastAsiaTheme="minorHAnsi" w:hAnsi="Arial Narrow" w:cstheme="minorBidi"/>
          </w:rPr>
          <w:t>Lei 43/2003</w:t>
        </w:r>
      </w:hyperlink>
      <w:r w:rsidR="00360F6A">
        <w:rPr>
          <w:rStyle w:val="Refdenotaalpie"/>
          <w:rFonts w:ascii="Arial Narrow" w:eastAsiaTheme="minorHAnsi" w:hAnsi="Arial Narrow"/>
        </w:rPr>
        <w:footnoteReference w:id="50"/>
      </w:r>
      <w:r w:rsidRPr="007C156C">
        <w:rPr>
          <w:rFonts w:ascii="Arial Narrow" w:eastAsiaTheme="minorHAnsi" w:hAnsi="Arial Narrow" w:cstheme="minorBidi"/>
        </w:rPr>
        <w:t>, que indica:</w:t>
      </w:r>
    </w:p>
    <w:p w14:paraId="36AD80B0" w14:textId="77777777" w:rsidR="0028028B" w:rsidRPr="00360F6A" w:rsidRDefault="0028028B" w:rsidP="00360F6A">
      <w:pPr>
        <w:ind w:left="708"/>
        <w:jc w:val="both"/>
        <w:rPr>
          <w:rFonts w:asciiTheme="minorHAnsi" w:eastAsiaTheme="minorHAnsi" w:hAnsiTheme="minorHAnsi" w:cstheme="minorHAnsi"/>
          <w:b/>
          <w:i/>
          <w:sz w:val="20"/>
          <w:szCs w:val="20"/>
        </w:rPr>
      </w:pPr>
      <w:r w:rsidRPr="00360F6A">
        <w:rPr>
          <w:rFonts w:asciiTheme="minorHAnsi" w:eastAsiaTheme="minorHAnsi" w:hAnsiTheme="minorHAnsi" w:cstheme="minorHAnsi"/>
          <w:b/>
          <w:i/>
          <w:sz w:val="20"/>
          <w:szCs w:val="20"/>
        </w:rPr>
        <w:t>“Artículo 4. Multifuncionalidad de los montes.</w:t>
      </w:r>
    </w:p>
    <w:p w14:paraId="392EB8BA" w14:textId="77777777" w:rsidR="0028028B" w:rsidRPr="00360F6A" w:rsidRDefault="0028028B" w:rsidP="00360F6A">
      <w:pPr>
        <w:ind w:left="708"/>
        <w:jc w:val="both"/>
        <w:rPr>
          <w:rFonts w:asciiTheme="minorHAnsi" w:eastAsiaTheme="minorHAnsi" w:hAnsiTheme="minorHAnsi" w:cstheme="minorHAnsi"/>
          <w:i/>
          <w:sz w:val="20"/>
          <w:szCs w:val="20"/>
        </w:rPr>
      </w:pPr>
      <w:r w:rsidRPr="00360F6A">
        <w:rPr>
          <w:rFonts w:asciiTheme="minorHAnsi" w:eastAsiaTheme="minorHAnsi" w:hAnsiTheme="minorHAnsi" w:cstheme="minorHAnsi"/>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50719AC6" w14:textId="77777777" w:rsidR="0028028B" w:rsidRPr="00360F6A" w:rsidRDefault="0028028B" w:rsidP="00360F6A">
      <w:pPr>
        <w:ind w:left="708"/>
        <w:jc w:val="both"/>
        <w:rPr>
          <w:rFonts w:asciiTheme="minorHAnsi" w:eastAsiaTheme="minorHAnsi" w:hAnsiTheme="minorHAnsi" w:cstheme="minorHAnsi"/>
          <w:i/>
          <w:sz w:val="20"/>
          <w:szCs w:val="20"/>
        </w:rPr>
      </w:pPr>
      <w:r w:rsidRPr="00360F6A">
        <w:rPr>
          <w:rFonts w:asciiTheme="minorHAnsi" w:eastAsiaTheme="minorHAnsi" w:hAnsiTheme="minorHAnsi" w:cstheme="minorHAnsi"/>
          <w:i/>
          <w:sz w:val="20"/>
          <w:szCs w:val="20"/>
        </w:rPr>
        <w:t>El reconocimiento de estos recursos y externalidades, de los que toda la sociedad se beneficia, obliga a las Administraciones públicas a velar en todos los casos por su conservación, protección, restauración, mejora y ordenado aprovechamiento”.</w:t>
      </w:r>
    </w:p>
    <w:p w14:paraId="3A12F1A6" w14:textId="65AD024C" w:rsidR="0028028B" w:rsidRDefault="0028028B" w:rsidP="0028028B">
      <w:pPr>
        <w:jc w:val="both"/>
        <w:rPr>
          <w:rFonts w:asciiTheme="minorHAnsi" w:eastAsiaTheme="minorHAnsi" w:hAnsiTheme="minorHAnsi" w:cstheme="minorHAnsi"/>
          <w:sz w:val="24"/>
          <w:szCs w:val="24"/>
        </w:rPr>
      </w:pPr>
      <w:r w:rsidRPr="00C97FE7">
        <w:rPr>
          <w:rFonts w:asciiTheme="minorHAnsi" w:eastAsiaTheme="minorHAnsi" w:hAnsiTheme="minorHAnsi" w:cstheme="minorHAnsi"/>
          <w:sz w:val="24"/>
          <w:szCs w:val="24"/>
        </w:rPr>
        <w:t>Polo tanto,</w:t>
      </w:r>
      <w:r w:rsidR="00F13595">
        <w:rPr>
          <w:rFonts w:asciiTheme="minorHAnsi" w:eastAsiaTheme="minorHAnsi" w:hAnsiTheme="minorHAnsi" w:cstheme="minorHAnsi"/>
          <w:sz w:val="24"/>
          <w:szCs w:val="24"/>
        </w:rPr>
        <w:t xml:space="preserve"> o</w:t>
      </w:r>
      <w:r w:rsidRPr="00C97FE7">
        <w:rPr>
          <w:rFonts w:asciiTheme="minorHAnsi" w:eastAsiaTheme="minorHAnsi" w:hAnsiTheme="minorHAnsi" w:cstheme="minorHAnsi"/>
          <w:sz w:val="24"/>
          <w:szCs w:val="24"/>
        </w:rPr>
        <w:t xml:space="preserve"> uso forestal e a funcionalidade actual dos montes afectados pola parque eólico </w:t>
      </w:r>
      <w:r w:rsidR="00BC37B0">
        <w:rPr>
          <w:rFonts w:asciiTheme="minorHAnsi" w:eastAsiaTheme="minorHAnsi" w:hAnsiTheme="minorHAnsi" w:cstheme="minorHAnsi"/>
          <w:sz w:val="24"/>
          <w:szCs w:val="24"/>
        </w:rPr>
        <w:t>To</w:t>
      </w:r>
      <w:r w:rsidR="00674279">
        <w:rPr>
          <w:rFonts w:asciiTheme="minorHAnsi" w:eastAsiaTheme="minorHAnsi" w:hAnsiTheme="minorHAnsi" w:cstheme="minorHAnsi"/>
          <w:sz w:val="24"/>
          <w:szCs w:val="24"/>
        </w:rPr>
        <w:t>r</w:t>
      </w:r>
      <w:r w:rsidR="00BC37B0">
        <w:rPr>
          <w:rFonts w:asciiTheme="minorHAnsi" w:eastAsiaTheme="minorHAnsi" w:hAnsiTheme="minorHAnsi" w:cstheme="minorHAnsi"/>
          <w:sz w:val="24"/>
          <w:szCs w:val="24"/>
        </w:rPr>
        <w:t>roña</w:t>
      </w:r>
      <w:r w:rsidR="00674279">
        <w:rPr>
          <w:rFonts w:asciiTheme="minorHAnsi" w:eastAsiaTheme="minorHAnsi" w:hAnsiTheme="minorHAnsi" w:cstheme="minorHAnsi"/>
          <w:sz w:val="24"/>
          <w:szCs w:val="24"/>
        </w:rPr>
        <w:t xml:space="preserve"> I</w:t>
      </w:r>
      <w:r w:rsidRPr="00C97FE7">
        <w:rPr>
          <w:rFonts w:asciiTheme="minorHAnsi" w:eastAsiaTheme="minorHAnsi" w:hAnsiTheme="minorHAnsi" w:cstheme="minorHAnsi"/>
          <w:sz w:val="24"/>
          <w:szCs w:val="24"/>
        </w:rPr>
        <w:t xml:space="preserve"> prevalecen sobre o uso previsto no proxecto eólico citado e RESULTA INCOMPATIBLE a actual utilidade e funcionalidade dos montes cos usos eólicos previstos.</w:t>
      </w:r>
    </w:p>
    <w:p w14:paraId="296D1E9C" w14:textId="3ECE0F8D" w:rsidR="00876086" w:rsidRPr="00094E10" w:rsidRDefault="00876086" w:rsidP="00876086">
      <w:pPr>
        <w:jc w:val="both"/>
        <w:rPr>
          <w:rFonts w:asciiTheme="minorHAnsi" w:hAnsiTheme="minorHAnsi" w:cstheme="minorHAnsi"/>
          <w:iCs/>
          <w:sz w:val="24"/>
          <w:szCs w:val="24"/>
        </w:rPr>
      </w:pPr>
      <w:r w:rsidRPr="00094E10">
        <w:rPr>
          <w:rFonts w:asciiTheme="minorHAnsi" w:hAnsiTheme="minorHAnsi" w:cstheme="minorHAnsi"/>
          <w:iCs/>
          <w:sz w:val="24"/>
          <w:szCs w:val="24"/>
        </w:rPr>
        <w:t>A importancia do monte maniféstase na existencia das seguintes comunidades de montes veciñais en man común</w:t>
      </w:r>
      <w:r>
        <w:rPr>
          <w:rFonts w:asciiTheme="minorHAnsi" w:hAnsiTheme="minorHAnsi" w:cstheme="minorHAnsi"/>
          <w:iCs/>
          <w:sz w:val="24"/>
          <w:szCs w:val="24"/>
        </w:rPr>
        <w:t xml:space="preserve"> afectadas polo proxecto</w:t>
      </w:r>
      <w:r w:rsidRPr="00094E10">
        <w:rPr>
          <w:rFonts w:asciiTheme="minorHAnsi" w:hAnsiTheme="minorHAnsi" w:cstheme="minorHAnsi"/>
          <w:iCs/>
          <w:sz w:val="24"/>
          <w:szCs w:val="24"/>
        </w:rPr>
        <w:t>:</w:t>
      </w:r>
      <w:r>
        <w:rPr>
          <w:rFonts w:asciiTheme="minorHAnsi" w:hAnsiTheme="minorHAnsi" w:cstheme="minorHAnsi"/>
          <w:iCs/>
          <w:sz w:val="24"/>
          <w:szCs w:val="24"/>
        </w:rPr>
        <w:t xml:space="preserve"> CMVCM</w:t>
      </w:r>
      <w:r w:rsidRPr="00094E10">
        <w:rPr>
          <w:rFonts w:asciiTheme="minorHAnsi" w:hAnsiTheme="minorHAnsi" w:cstheme="minorHAnsi"/>
          <w:iCs/>
          <w:sz w:val="24"/>
          <w:szCs w:val="24"/>
        </w:rPr>
        <w:t xml:space="preserve"> de </w:t>
      </w:r>
      <w:r w:rsidR="00D0550E">
        <w:rPr>
          <w:rFonts w:asciiTheme="minorHAnsi" w:hAnsiTheme="minorHAnsi" w:cstheme="minorHAnsi"/>
          <w:iCs/>
          <w:sz w:val="24"/>
          <w:szCs w:val="24"/>
        </w:rPr>
        <w:t>Viladesuso, Foral da Groba, Pedornes, Burgueira, Pedrada, Castillo e Queimado, Cereixo, Montes de Belesar, Mougás,</w:t>
      </w:r>
      <w:r>
        <w:rPr>
          <w:rFonts w:asciiTheme="minorHAnsi" w:hAnsiTheme="minorHAnsi" w:cstheme="minorHAnsi"/>
          <w:iCs/>
          <w:sz w:val="24"/>
          <w:szCs w:val="24"/>
        </w:rPr>
        <w:t xml:space="preserve"> etc</w:t>
      </w:r>
      <w:r w:rsidRPr="00094E10">
        <w:rPr>
          <w:rFonts w:asciiTheme="minorHAnsi" w:hAnsiTheme="minorHAnsi" w:cstheme="minorHAnsi"/>
          <w:iCs/>
          <w:sz w:val="24"/>
          <w:szCs w:val="24"/>
        </w:rPr>
        <w:t>.</w:t>
      </w:r>
    </w:p>
    <w:p w14:paraId="77D19D82" w14:textId="77777777" w:rsidR="0028028B" w:rsidRDefault="0028028B" w:rsidP="004C4B07">
      <w:pPr>
        <w:spacing w:before="120" w:after="0" w:line="240" w:lineRule="auto"/>
        <w:jc w:val="both"/>
        <w:rPr>
          <w:rFonts w:cs="Arial"/>
          <w:color w:val="000000"/>
          <w:sz w:val="24"/>
          <w:szCs w:val="24"/>
        </w:rPr>
      </w:pPr>
    </w:p>
    <w:p w14:paraId="1AF7705C" w14:textId="58F3D33F" w:rsidR="007E6A67" w:rsidRPr="009B1BBF" w:rsidRDefault="007E6A67" w:rsidP="00246A53">
      <w:pPr>
        <w:pStyle w:val="Default"/>
        <w:numPr>
          <w:ilvl w:val="0"/>
          <w:numId w:val="11"/>
        </w:numPr>
        <w:shd w:val="clear" w:color="auto" w:fill="C6D9F1"/>
        <w:spacing w:before="120"/>
        <w:ind w:left="1843" w:hanging="1843"/>
        <w:jc w:val="both"/>
        <w:outlineLvl w:val="0"/>
        <w:rPr>
          <w:rFonts w:ascii="Calibri" w:hAnsi="Calibri" w:cs="Calibri"/>
          <w:b/>
          <w:bCs/>
        </w:rPr>
      </w:pPr>
      <w:bookmarkStart w:id="47" w:name="_Toc132510950"/>
      <w:r>
        <w:rPr>
          <w:rFonts w:ascii="Calibri" w:hAnsi="Calibri" w:cs="Calibri"/>
          <w:b/>
          <w:bCs/>
        </w:rPr>
        <w:t xml:space="preserve">Afección e perxuizos serios e irreparables </w:t>
      </w:r>
      <w:r w:rsidR="00243257">
        <w:rPr>
          <w:rFonts w:ascii="Calibri" w:hAnsi="Calibri" w:cs="Calibri"/>
          <w:b/>
          <w:bCs/>
        </w:rPr>
        <w:t>a</w:t>
      </w:r>
      <w:r>
        <w:rPr>
          <w:rFonts w:ascii="Calibri" w:hAnsi="Calibri" w:cs="Calibri"/>
          <w:b/>
          <w:bCs/>
        </w:rPr>
        <w:t>s explotacións a</w:t>
      </w:r>
      <w:r w:rsidR="00F13595">
        <w:rPr>
          <w:rFonts w:ascii="Calibri" w:hAnsi="Calibri" w:cs="Calibri"/>
          <w:b/>
          <w:bCs/>
        </w:rPr>
        <w:t>gro-gandeiras da área de afecció</w:t>
      </w:r>
      <w:r>
        <w:rPr>
          <w:rFonts w:ascii="Calibri" w:hAnsi="Calibri" w:cs="Calibri"/>
          <w:b/>
          <w:bCs/>
        </w:rPr>
        <w:t xml:space="preserve">n do P.E. </w:t>
      </w:r>
      <w:r w:rsidR="00BC37B0">
        <w:rPr>
          <w:rFonts w:ascii="Calibri" w:hAnsi="Calibri" w:cs="Calibri"/>
          <w:b/>
          <w:bCs/>
        </w:rPr>
        <w:t>Tor</w:t>
      </w:r>
      <w:r w:rsidR="00674279">
        <w:rPr>
          <w:rFonts w:ascii="Calibri" w:hAnsi="Calibri" w:cs="Calibri"/>
          <w:b/>
          <w:bCs/>
        </w:rPr>
        <w:t>r</w:t>
      </w:r>
      <w:r w:rsidR="00BC37B0">
        <w:rPr>
          <w:rFonts w:ascii="Calibri" w:hAnsi="Calibri" w:cs="Calibri"/>
          <w:b/>
          <w:bCs/>
        </w:rPr>
        <w:t>oña</w:t>
      </w:r>
      <w:r w:rsidR="00674279">
        <w:rPr>
          <w:rFonts w:ascii="Calibri" w:hAnsi="Calibri" w:cs="Calibri"/>
          <w:b/>
          <w:bCs/>
        </w:rPr>
        <w:t xml:space="preserve"> I</w:t>
      </w:r>
      <w:r>
        <w:rPr>
          <w:rFonts w:ascii="Calibri" w:hAnsi="Calibri" w:cs="Calibri"/>
          <w:b/>
          <w:bCs/>
        </w:rPr>
        <w:t>.</w:t>
      </w:r>
      <w:bookmarkEnd w:id="47"/>
    </w:p>
    <w:p w14:paraId="2BF43DEE" w14:textId="01244CE1" w:rsidR="00CD74B5" w:rsidRPr="007E6A67" w:rsidRDefault="00CD74B5" w:rsidP="007E6A67">
      <w:pPr>
        <w:autoSpaceDE w:val="0"/>
        <w:autoSpaceDN w:val="0"/>
        <w:adjustRightInd w:val="0"/>
        <w:spacing w:before="120" w:after="0" w:line="240" w:lineRule="auto"/>
        <w:jc w:val="both"/>
        <w:rPr>
          <w:rFonts w:asciiTheme="minorHAnsi" w:eastAsiaTheme="minorHAnsi" w:hAnsiTheme="minorHAnsi" w:cstheme="minorHAnsi"/>
          <w:sz w:val="24"/>
          <w:szCs w:val="24"/>
        </w:rPr>
      </w:pPr>
      <w:r w:rsidRPr="007E6A67">
        <w:rPr>
          <w:rFonts w:asciiTheme="minorHAnsi" w:eastAsiaTheme="minorHAnsi" w:hAnsiTheme="minorHAnsi" w:cstheme="minorHAnsi"/>
          <w:sz w:val="24"/>
          <w:szCs w:val="24"/>
        </w:rPr>
        <w:t>A estación eólica e as súas infraestruturas de evacuación fragmentan as explotacións agro–</w:t>
      </w:r>
      <w:r w:rsidR="00F13595">
        <w:rPr>
          <w:rFonts w:asciiTheme="minorHAnsi" w:eastAsiaTheme="minorHAnsi" w:hAnsiTheme="minorHAnsi" w:cstheme="minorHAnsi"/>
          <w:sz w:val="24"/>
          <w:szCs w:val="24"/>
        </w:rPr>
        <w:t xml:space="preserve"> </w:t>
      </w:r>
      <w:r w:rsidRPr="007E6A67">
        <w:rPr>
          <w:rFonts w:asciiTheme="minorHAnsi" w:eastAsiaTheme="minorHAnsi" w:hAnsiTheme="minorHAnsi" w:cstheme="minorHAnsi"/>
          <w:sz w:val="24"/>
          <w:szCs w:val="24"/>
        </w:rPr>
        <w:t>gandeiras coa conseguinte perda da base territorial destas e a perda de rendementos. A fragmentación que produce a infraestrutura eólica resulta incompatible cos obxectivos da Política agraria comunitaria (PAC). A empresa promotora non avaliou</w:t>
      </w:r>
      <w:r w:rsidR="007E6A67">
        <w:rPr>
          <w:rFonts w:asciiTheme="minorHAnsi" w:eastAsiaTheme="minorHAnsi" w:hAnsiTheme="minorHAnsi" w:cstheme="minorHAnsi"/>
          <w:sz w:val="24"/>
          <w:szCs w:val="24"/>
        </w:rPr>
        <w:t xml:space="preserve"> os impactos do proxecto sobre </w:t>
      </w:r>
      <w:r w:rsidRPr="007E6A67">
        <w:rPr>
          <w:rFonts w:asciiTheme="minorHAnsi" w:eastAsiaTheme="minorHAnsi" w:hAnsiTheme="minorHAnsi" w:cstheme="minorHAnsi"/>
          <w:sz w:val="24"/>
          <w:szCs w:val="24"/>
        </w:rPr>
        <w:t xml:space="preserve">estas explotacións económicas e como repercute a estación eólica nas economías familiares dos núcleos afectados. </w:t>
      </w:r>
    </w:p>
    <w:p w14:paraId="53F8AAAD" w14:textId="5362F8E3" w:rsidR="00CD74B5" w:rsidRDefault="00CD74B5" w:rsidP="007E6A67">
      <w:pPr>
        <w:autoSpaceDE w:val="0"/>
        <w:autoSpaceDN w:val="0"/>
        <w:adjustRightInd w:val="0"/>
        <w:spacing w:before="120" w:after="0" w:line="240" w:lineRule="auto"/>
        <w:jc w:val="both"/>
        <w:rPr>
          <w:rFonts w:asciiTheme="minorHAnsi" w:eastAsiaTheme="minorHAnsi" w:hAnsiTheme="minorHAnsi" w:cstheme="minorHAnsi"/>
          <w:sz w:val="24"/>
          <w:szCs w:val="24"/>
        </w:rPr>
      </w:pPr>
      <w:r w:rsidRPr="007E6A67">
        <w:rPr>
          <w:rFonts w:asciiTheme="minorHAnsi" w:eastAsiaTheme="minorHAnsi" w:hAnsiTheme="minorHAnsi" w:cstheme="minorHAnsi"/>
          <w:sz w:val="24"/>
          <w:szCs w:val="24"/>
        </w:rPr>
        <w:t>É po</w:t>
      </w:r>
      <w:r w:rsidR="00F13595">
        <w:rPr>
          <w:rFonts w:asciiTheme="minorHAnsi" w:eastAsiaTheme="minorHAnsi" w:hAnsiTheme="minorHAnsi" w:cstheme="minorHAnsi"/>
          <w:sz w:val="24"/>
          <w:szCs w:val="24"/>
        </w:rPr>
        <w:t>lo</w:t>
      </w:r>
      <w:r w:rsidRPr="007E6A67">
        <w:rPr>
          <w:rFonts w:asciiTheme="minorHAnsi" w:eastAsiaTheme="minorHAnsi" w:hAnsiTheme="minorHAnsi" w:cstheme="minorHAnsi"/>
          <w:sz w:val="24"/>
          <w:szCs w:val="24"/>
        </w:rPr>
        <w:t xml:space="preserve"> tanto un proxecto industrial agresivo non só coa paisaxe senón tamén incompatible co medio de vida e o benestar das familias porque implica unha tranformación severa e agresiva para o seu sustento económico e á base das economías familiares do rural afectado. </w:t>
      </w:r>
    </w:p>
    <w:p w14:paraId="3D4B839C" w14:textId="77777777" w:rsidR="008F12C5" w:rsidRPr="007E6A67" w:rsidRDefault="008F12C5" w:rsidP="007E6A67">
      <w:pPr>
        <w:autoSpaceDE w:val="0"/>
        <w:autoSpaceDN w:val="0"/>
        <w:adjustRightInd w:val="0"/>
        <w:spacing w:before="120" w:after="0" w:line="240" w:lineRule="auto"/>
        <w:jc w:val="both"/>
        <w:rPr>
          <w:rFonts w:asciiTheme="minorHAnsi" w:eastAsiaTheme="minorHAnsi" w:hAnsiTheme="minorHAnsi" w:cstheme="minorHAnsi"/>
          <w:sz w:val="24"/>
          <w:szCs w:val="24"/>
        </w:rPr>
      </w:pPr>
    </w:p>
    <w:p w14:paraId="4B88214D" w14:textId="1426FB46" w:rsidR="00A01580" w:rsidRPr="009B1BBF" w:rsidRDefault="00A01580" w:rsidP="00246A53">
      <w:pPr>
        <w:pStyle w:val="Default"/>
        <w:numPr>
          <w:ilvl w:val="0"/>
          <w:numId w:val="11"/>
        </w:numPr>
        <w:shd w:val="clear" w:color="auto" w:fill="C6D9F1"/>
        <w:spacing w:before="120"/>
        <w:ind w:left="1843" w:hanging="1843"/>
        <w:jc w:val="both"/>
        <w:outlineLvl w:val="0"/>
        <w:rPr>
          <w:rFonts w:ascii="Calibri" w:hAnsi="Calibri" w:cs="Calibri"/>
          <w:b/>
          <w:bCs/>
        </w:rPr>
      </w:pPr>
      <w:bookmarkStart w:id="48" w:name="_Toc132510951"/>
      <w:r>
        <w:rPr>
          <w:rFonts w:ascii="Calibri" w:hAnsi="Calibri" w:cs="Calibri"/>
          <w:b/>
          <w:bCs/>
        </w:rPr>
        <w:t xml:space="preserve">Perxuizos irreversibles para o Lobo e a vialbilidade da especie derivados da construcción do P.E. </w:t>
      </w:r>
      <w:r w:rsidR="00BC37B0">
        <w:rPr>
          <w:rFonts w:ascii="Calibri" w:hAnsi="Calibri" w:cs="Calibri"/>
          <w:b/>
          <w:bCs/>
        </w:rPr>
        <w:t>Tor</w:t>
      </w:r>
      <w:r w:rsidR="00674279">
        <w:rPr>
          <w:rFonts w:ascii="Calibri" w:hAnsi="Calibri" w:cs="Calibri"/>
          <w:b/>
          <w:bCs/>
        </w:rPr>
        <w:t>r</w:t>
      </w:r>
      <w:r w:rsidR="00BC37B0">
        <w:rPr>
          <w:rFonts w:ascii="Calibri" w:hAnsi="Calibri" w:cs="Calibri"/>
          <w:b/>
          <w:bCs/>
        </w:rPr>
        <w:t>oña</w:t>
      </w:r>
      <w:r w:rsidR="00674279">
        <w:rPr>
          <w:rFonts w:ascii="Calibri" w:hAnsi="Calibri" w:cs="Calibri"/>
          <w:b/>
          <w:bCs/>
        </w:rPr>
        <w:t xml:space="preserve"> I</w:t>
      </w:r>
      <w:r>
        <w:rPr>
          <w:rFonts w:ascii="Calibri" w:hAnsi="Calibri" w:cs="Calibri"/>
          <w:b/>
          <w:bCs/>
        </w:rPr>
        <w:t>, afectando aos puntos de encame e aos puntos de encontró lobeiros.</w:t>
      </w:r>
      <w:bookmarkEnd w:id="48"/>
    </w:p>
    <w:p w14:paraId="711607F1" w14:textId="3A4B0633" w:rsidR="00A4184C" w:rsidRDefault="00A4184C" w:rsidP="00A4184C">
      <w:pPr>
        <w:autoSpaceDE w:val="0"/>
        <w:autoSpaceDN w:val="0"/>
        <w:adjustRightInd w:val="0"/>
        <w:spacing w:before="120" w:after="0" w:line="240" w:lineRule="auto"/>
        <w:jc w:val="both"/>
        <w:rPr>
          <w:rFonts w:asciiTheme="minorHAnsi" w:hAnsiTheme="minorHAnsi" w:cstheme="minorHAnsi"/>
          <w:sz w:val="24"/>
          <w:szCs w:val="24"/>
          <w:lang w:eastAsia="es-ES"/>
        </w:rPr>
      </w:pPr>
      <w:r w:rsidRPr="00A4184C">
        <w:rPr>
          <w:rFonts w:asciiTheme="minorHAnsi" w:hAnsiTheme="minorHAnsi" w:cstheme="minorHAnsi"/>
          <w:sz w:val="24"/>
          <w:szCs w:val="24"/>
          <w:lang w:eastAsia="es-ES"/>
        </w:rPr>
        <w:t xml:space="preserve">No que respecta ao plan de xestión do lobo, o Parque Eólico localízase nunha área cunha  densidade  baixa  de  lobo  ibérico,  con  valores  inferiores  a  1,27  lobos/km2 de  acordo  ao  </w:t>
      </w:r>
      <w:hyperlink r:id="rId64" w:history="1">
        <w:r w:rsidRPr="00A4184C">
          <w:rPr>
            <w:rStyle w:val="Hipervnculo"/>
            <w:rFonts w:asciiTheme="minorHAnsi" w:hAnsiTheme="minorHAnsi" w:cstheme="minorHAnsi"/>
            <w:sz w:val="24"/>
            <w:szCs w:val="24"/>
            <w:lang w:eastAsia="es-ES"/>
          </w:rPr>
          <w:t>Decreto 297/2008</w:t>
        </w:r>
      </w:hyperlink>
      <w:r>
        <w:rPr>
          <w:rStyle w:val="Refdenotaalpie"/>
          <w:rFonts w:asciiTheme="minorHAnsi" w:hAnsiTheme="minorHAnsi"/>
          <w:sz w:val="24"/>
          <w:szCs w:val="24"/>
          <w:lang w:eastAsia="es-ES"/>
        </w:rPr>
        <w:footnoteReference w:id="51"/>
      </w:r>
      <w:r w:rsidRPr="00A4184C">
        <w:rPr>
          <w:rFonts w:asciiTheme="minorHAnsi" w:hAnsiTheme="minorHAnsi" w:cstheme="minorHAnsi"/>
          <w:sz w:val="24"/>
          <w:szCs w:val="24"/>
          <w:lang w:eastAsia="es-ES"/>
        </w:rPr>
        <w:t xml:space="preserve">, do 30 de decembro, polo que se aproba o Plan de Xestión do lobo en Galicia (DOG n. 13 do 20 de xaneiro de 2009). </w:t>
      </w:r>
      <w:r w:rsidR="00EA1876">
        <w:rPr>
          <w:rFonts w:asciiTheme="minorHAnsi" w:hAnsiTheme="minorHAnsi" w:cstheme="minorHAnsi"/>
          <w:sz w:val="24"/>
          <w:szCs w:val="24"/>
          <w:lang w:eastAsia="es-ES"/>
        </w:rPr>
        <w:t>Porén</w:t>
      </w:r>
      <w:r w:rsidRPr="00A4184C">
        <w:rPr>
          <w:rFonts w:asciiTheme="minorHAnsi" w:hAnsiTheme="minorHAnsi" w:cstheme="minorHAnsi"/>
          <w:sz w:val="24"/>
          <w:szCs w:val="24"/>
          <w:lang w:eastAsia="es-ES"/>
        </w:rPr>
        <w:t>, o último rexistro gráfico da especie na Groba remóntase aos anos 70 e no máis recente ao comezo da década dos 80 de acordo a testemuños recollidos po</w:t>
      </w:r>
      <w:r>
        <w:rPr>
          <w:rFonts w:asciiTheme="minorHAnsi" w:hAnsiTheme="minorHAnsi" w:cstheme="minorHAnsi"/>
          <w:sz w:val="24"/>
          <w:szCs w:val="24"/>
          <w:lang w:eastAsia="es-ES"/>
        </w:rPr>
        <w:t>la asociación ANABAM</w:t>
      </w:r>
      <w:r w:rsidRPr="00A4184C">
        <w:rPr>
          <w:rFonts w:asciiTheme="minorHAnsi" w:hAnsiTheme="minorHAnsi" w:cstheme="minorHAnsi"/>
          <w:sz w:val="24"/>
          <w:szCs w:val="24"/>
          <w:lang w:eastAsia="es-ES"/>
        </w:rPr>
        <w:t xml:space="preserve">, evidenciando as carencias do presente EsIA en canto ao </w:t>
      </w:r>
      <w:r w:rsidRPr="00A4184C">
        <w:rPr>
          <w:rFonts w:asciiTheme="minorHAnsi" w:hAnsiTheme="minorHAnsi" w:cstheme="minorHAnsi"/>
          <w:sz w:val="24"/>
          <w:szCs w:val="24"/>
          <w:lang w:eastAsia="es-ES"/>
        </w:rPr>
        <w:lastRenderedPageBreak/>
        <w:t>impacto do presente proxecto o que compromete a adopción de medidas mitigadoras e correctoras acordes á realidade ambiental na área de implantación.</w:t>
      </w:r>
    </w:p>
    <w:p w14:paraId="6B39B834" w14:textId="77777777" w:rsidR="00EA1876" w:rsidRPr="00A4184C" w:rsidRDefault="00EA1876" w:rsidP="00A4184C">
      <w:pPr>
        <w:autoSpaceDE w:val="0"/>
        <w:autoSpaceDN w:val="0"/>
        <w:adjustRightInd w:val="0"/>
        <w:spacing w:before="120" w:after="0" w:line="240" w:lineRule="auto"/>
        <w:jc w:val="both"/>
        <w:rPr>
          <w:rFonts w:asciiTheme="minorHAnsi" w:eastAsiaTheme="minorHAnsi" w:hAnsiTheme="minorHAnsi" w:cstheme="minorHAnsi"/>
          <w:sz w:val="24"/>
          <w:szCs w:val="24"/>
        </w:rPr>
      </w:pPr>
    </w:p>
    <w:p w14:paraId="1F0988D3" w14:textId="77777777" w:rsidR="00A01580" w:rsidRDefault="00CD74B5" w:rsidP="00CD74B5">
      <w:pPr>
        <w:autoSpaceDE w:val="0"/>
        <w:autoSpaceDN w:val="0"/>
        <w:adjustRightInd w:val="0"/>
        <w:jc w:val="both"/>
        <w:rPr>
          <w:rFonts w:asciiTheme="minorHAnsi" w:eastAsiaTheme="minorHAnsi" w:hAnsiTheme="minorHAnsi" w:cstheme="minorHAnsi"/>
          <w:sz w:val="24"/>
          <w:szCs w:val="24"/>
        </w:rPr>
      </w:pPr>
      <w:r w:rsidRPr="00A01580">
        <w:rPr>
          <w:rFonts w:asciiTheme="minorHAnsi" w:eastAsiaTheme="minorHAnsi" w:hAnsiTheme="minorHAnsi" w:cstheme="minorHAnsi"/>
          <w:sz w:val="24"/>
          <w:szCs w:val="24"/>
        </w:rPr>
        <w:t xml:space="preserve">O proxecto afecta directamente a zonas de encame e puntos de encontro da especie. Así o demostra non só a realidade física senón tamén os numerosos topónimos que referencian a presencia lobeira na zona como o </w:t>
      </w:r>
      <w:r w:rsidRPr="00A01580">
        <w:rPr>
          <w:rFonts w:asciiTheme="minorHAnsi" w:eastAsiaTheme="minorHAnsi" w:hAnsiTheme="minorHAnsi" w:cstheme="minorHAnsi"/>
          <w:i/>
          <w:sz w:val="24"/>
          <w:szCs w:val="24"/>
        </w:rPr>
        <w:t>Foxo do Lobo</w:t>
      </w:r>
      <w:r w:rsidRPr="00A01580">
        <w:rPr>
          <w:rFonts w:asciiTheme="minorHAnsi" w:eastAsiaTheme="minorHAnsi" w:hAnsiTheme="minorHAnsi" w:cstheme="minorHAnsi"/>
          <w:sz w:val="24"/>
          <w:szCs w:val="24"/>
        </w:rPr>
        <w:t xml:space="preserve">. Existen multitude de referencias á presencia dos puntos de encontro lobeiros e testemuñas desta realidade. </w:t>
      </w:r>
    </w:p>
    <w:p w14:paraId="5E8A8916" w14:textId="77777777" w:rsidR="00A01580" w:rsidRDefault="00CD74B5" w:rsidP="00CD74B5">
      <w:pPr>
        <w:autoSpaceDE w:val="0"/>
        <w:autoSpaceDN w:val="0"/>
        <w:adjustRightInd w:val="0"/>
        <w:jc w:val="both"/>
        <w:rPr>
          <w:rFonts w:asciiTheme="minorHAnsi" w:eastAsiaTheme="minorHAnsi" w:hAnsiTheme="minorHAnsi" w:cstheme="minorHAnsi"/>
          <w:sz w:val="24"/>
          <w:szCs w:val="24"/>
        </w:rPr>
      </w:pPr>
      <w:r w:rsidRPr="00A01580">
        <w:rPr>
          <w:rFonts w:asciiTheme="minorHAnsi" w:eastAsiaTheme="minorHAnsi" w:hAnsiTheme="minorHAnsi" w:cstheme="minorHAnsi"/>
          <w:sz w:val="24"/>
          <w:szCs w:val="24"/>
        </w:rPr>
        <w:t>Neste sentido estes proxectos afectan directamente e de forma irreversible aos hábitats da especie</w:t>
      </w:r>
      <w:r w:rsidR="00A01580">
        <w:rPr>
          <w:rFonts w:asciiTheme="minorHAnsi" w:eastAsiaTheme="minorHAnsi" w:hAnsiTheme="minorHAnsi" w:cstheme="minorHAnsi"/>
          <w:sz w:val="24"/>
          <w:szCs w:val="24"/>
        </w:rPr>
        <w:t xml:space="preserve"> sen que a promotora fixera avaliación ningunha</w:t>
      </w:r>
      <w:r w:rsidRPr="00A01580">
        <w:rPr>
          <w:rFonts w:asciiTheme="minorHAnsi" w:eastAsiaTheme="minorHAnsi" w:hAnsiTheme="minorHAnsi" w:cstheme="minorHAnsi"/>
          <w:sz w:val="24"/>
          <w:szCs w:val="24"/>
        </w:rPr>
        <w:t xml:space="preserve">. Pero esta avaliación deberá ser previa á ubicación dos parques eólicos. Hai que ter en conta que a corta de matogueira e a ocupación do terreo ten impactos significativos para a especie. </w:t>
      </w:r>
    </w:p>
    <w:p w14:paraId="0AFF38A8" w14:textId="4DB1E8CE" w:rsidR="00CD74B5" w:rsidRPr="00A01580" w:rsidRDefault="00CD74B5" w:rsidP="00CD74B5">
      <w:pPr>
        <w:autoSpaceDE w:val="0"/>
        <w:autoSpaceDN w:val="0"/>
        <w:adjustRightInd w:val="0"/>
        <w:jc w:val="both"/>
        <w:rPr>
          <w:rFonts w:asciiTheme="minorHAnsi" w:eastAsiaTheme="minorHAnsi" w:hAnsiTheme="minorHAnsi" w:cstheme="minorHAnsi"/>
          <w:sz w:val="24"/>
          <w:szCs w:val="24"/>
        </w:rPr>
      </w:pPr>
      <w:r w:rsidRPr="00A01580">
        <w:rPr>
          <w:rFonts w:asciiTheme="minorHAnsi" w:eastAsiaTheme="minorHAnsi" w:hAnsiTheme="minorHAnsi" w:cstheme="minorHAnsi"/>
          <w:sz w:val="24"/>
          <w:szCs w:val="24"/>
        </w:rPr>
        <w:t>Polo tanto, antes de escoller o emprazamento do parque xa se deber</w:t>
      </w:r>
      <w:r w:rsidR="00A01580">
        <w:rPr>
          <w:rFonts w:asciiTheme="minorHAnsi" w:eastAsiaTheme="minorHAnsi" w:hAnsiTheme="minorHAnsi" w:cstheme="minorHAnsi"/>
          <w:sz w:val="24"/>
          <w:szCs w:val="24"/>
        </w:rPr>
        <w:t>ía</w:t>
      </w:r>
      <w:r w:rsidRPr="00A01580">
        <w:rPr>
          <w:rFonts w:asciiTheme="minorHAnsi" w:eastAsiaTheme="minorHAnsi" w:hAnsiTheme="minorHAnsi" w:cstheme="minorHAnsi"/>
          <w:sz w:val="24"/>
          <w:szCs w:val="24"/>
        </w:rPr>
        <w:t xml:space="preserve"> </w:t>
      </w:r>
      <w:r w:rsidR="00A01580">
        <w:rPr>
          <w:rFonts w:asciiTheme="minorHAnsi" w:eastAsiaTheme="minorHAnsi" w:hAnsiTheme="minorHAnsi" w:cstheme="minorHAnsi"/>
          <w:sz w:val="24"/>
          <w:szCs w:val="24"/>
        </w:rPr>
        <w:t>ter previstos</w:t>
      </w:r>
      <w:r w:rsidRPr="00A01580">
        <w:rPr>
          <w:rFonts w:asciiTheme="minorHAnsi" w:eastAsiaTheme="minorHAnsi" w:hAnsiTheme="minorHAnsi" w:cstheme="minorHAnsi"/>
          <w:sz w:val="24"/>
          <w:szCs w:val="24"/>
        </w:rPr>
        <w:t xml:space="preserve"> estes puntos de encame e de encontros lobeiros. Non se seguiron os criterios dos expertos que indican: </w:t>
      </w:r>
    </w:p>
    <w:p w14:paraId="7C2D3DD3" w14:textId="77777777" w:rsidR="00CD74B5" w:rsidRPr="00A665AC" w:rsidRDefault="00CD74B5" w:rsidP="00A665AC">
      <w:pPr>
        <w:autoSpaceDE w:val="0"/>
        <w:autoSpaceDN w:val="0"/>
        <w:adjustRightInd w:val="0"/>
        <w:ind w:left="708"/>
        <w:jc w:val="both"/>
        <w:rPr>
          <w:rFonts w:asciiTheme="minorHAnsi" w:eastAsiaTheme="minorHAnsi" w:hAnsiTheme="minorHAnsi" w:cstheme="minorHAnsi"/>
          <w:sz w:val="20"/>
          <w:szCs w:val="20"/>
        </w:rPr>
      </w:pPr>
      <w:r w:rsidRPr="00A665AC">
        <w:rPr>
          <w:rFonts w:asciiTheme="minorHAnsi" w:eastAsiaTheme="minorHAnsi" w:hAnsiTheme="minorHAnsi" w:cstheme="minorHAnsi"/>
          <w:i/>
          <w:iCs/>
          <w:sz w:val="20"/>
          <w:szCs w:val="20"/>
        </w:rPr>
        <w:t xml:space="preserve">“• Na fase de planificación dun novo parque eólico (fase proxecto) consúltense as fontes dispoñibles acerca da presenza de mandas de lobos na zona. Desta maneira, tendo en conta os requirimentos da especie e o que se coñece do efecto dos parques eólicos sobre os lobos, poden minimizarse, e mesmo, evitarse impactos negativos sobre este cánido, modificando a disposición das infraestruturas e alonxando estas dos puntos de encame e puntos de encontro das manadas de lobos. </w:t>
      </w:r>
    </w:p>
    <w:p w14:paraId="6EA9BBB7" w14:textId="77777777" w:rsidR="00CD74B5" w:rsidRPr="00A665AC" w:rsidRDefault="00CD74B5" w:rsidP="00A665AC">
      <w:pPr>
        <w:autoSpaceDE w:val="0"/>
        <w:autoSpaceDN w:val="0"/>
        <w:adjustRightInd w:val="0"/>
        <w:ind w:left="708"/>
        <w:jc w:val="both"/>
        <w:rPr>
          <w:rFonts w:asciiTheme="minorHAnsi" w:eastAsiaTheme="minorHAnsi" w:hAnsiTheme="minorHAnsi" w:cstheme="minorHAnsi"/>
          <w:sz w:val="20"/>
          <w:szCs w:val="20"/>
        </w:rPr>
      </w:pPr>
      <w:r w:rsidRPr="00A665AC">
        <w:rPr>
          <w:rFonts w:asciiTheme="minorHAnsi" w:eastAsiaTheme="minorHAnsi" w:hAnsiTheme="minorHAnsi" w:cstheme="minorHAnsi"/>
          <w:i/>
          <w:iCs/>
          <w:sz w:val="20"/>
          <w:szCs w:val="20"/>
        </w:rPr>
        <w:t xml:space="preserve">• É conveniente que durante a planificación dun parque eólico identifíquense as principais manchas de vexetación arbustiva e evítese, na medida do posible, a súa fragmentación e destrución”. </w:t>
      </w:r>
    </w:p>
    <w:p w14:paraId="00934343" w14:textId="5D139687" w:rsidR="00CD74B5" w:rsidRPr="00A01580" w:rsidRDefault="00CD74B5" w:rsidP="00CD74B5">
      <w:pPr>
        <w:autoSpaceDE w:val="0"/>
        <w:autoSpaceDN w:val="0"/>
        <w:adjustRightInd w:val="0"/>
        <w:jc w:val="both"/>
        <w:rPr>
          <w:rFonts w:asciiTheme="minorHAnsi" w:eastAsiaTheme="minorHAnsi" w:hAnsiTheme="minorHAnsi" w:cstheme="minorHAnsi"/>
          <w:sz w:val="24"/>
          <w:szCs w:val="24"/>
        </w:rPr>
      </w:pPr>
      <w:r w:rsidRPr="00A01580">
        <w:rPr>
          <w:rFonts w:asciiTheme="minorHAnsi" w:eastAsiaTheme="minorHAnsi" w:hAnsiTheme="minorHAnsi" w:cstheme="minorHAnsi"/>
          <w:sz w:val="24"/>
          <w:szCs w:val="24"/>
        </w:rPr>
        <w:t>A totalidade das infraestruturas eólicas fragmentan os hábitats das especies producindo p</w:t>
      </w:r>
      <w:r w:rsidR="00356B3E">
        <w:rPr>
          <w:rFonts w:asciiTheme="minorHAnsi" w:eastAsiaTheme="minorHAnsi" w:hAnsiTheme="minorHAnsi" w:cstheme="minorHAnsi"/>
          <w:sz w:val="24"/>
          <w:szCs w:val="24"/>
        </w:rPr>
        <w:t>e</w:t>
      </w:r>
      <w:r w:rsidRPr="00A01580">
        <w:rPr>
          <w:rFonts w:asciiTheme="minorHAnsi" w:eastAsiaTheme="minorHAnsi" w:hAnsiTheme="minorHAnsi" w:cstheme="minorHAnsi"/>
          <w:sz w:val="24"/>
          <w:szCs w:val="24"/>
        </w:rPr>
        <w:t xml:space="preserve">rxuizos significativos para unha especie de marcado carácter territorial. </w:t>
      </w:r>
    </w:p>
    <w:p w14:paraId="2C88047C" w14:textId="77777777" w:rsidR="00CD74B5" w:rsidRPr="00A01580" w:rsidRDefault="00CD74B5" w:rsidP="00CD74B5">
      <w:pPr>
        <w:autoSpaceDE w:val="0"/>
        <w:autoSpaceDN w:val="0"/>
        <w:adjustRightInd w:val="0"/>
        <w:jc w:val="both"/>
        <w:rPr>
          <w:rFonts w:asciiTheme="minorHAnsi" w:eastAsiaTheme="minorHAnsi" w:hAnsiTheme="minorHAnsi" w:cstheme="minorHAnsi"/>
          <w:sz w:val="24"/>
          <w:szCs w:val="24"/>
        </w:rPr>
      </w:pPr>
      <w:r w:rsidRPr="00A01580">
        <w:rPr>
          <w:rFonts w:asciiTheme="minorHAnsi" w:eastAsiaTheme="minorHAnsi" w:hAnsiTheme="minorHAnsi" w:cstheme="minorHAnsi"/>
          <w:sz w:val="24"/>
          <w:szCs w:val="24"/>
        </w:rPr>
        <w:t xml:space="preserve">O Convenio de Berna relativo á Conservación da Vida Silvestre e o Medio Natural de Europa, foi asinado en Estrasburgo (Francia) en 1979. Este convenio incluíu ao lobo no Anexo II “Especies de fauna estritamente protexidas”, constando as prohibicións correspondentes no seu art. 6. Este Convenio debe o seu valor a tres características fundamentais: o seu carácter xeneralista, a concepción da lista 9 única de especies e a incorporación da política conservacionista na planificación económica. </w:t>
      </w:r>
    </w:p>
    <w:p w14:paraId="7A7AD87A" w14:textId="55CFAE50" w:rsidR="00D15B47" w:rsidRDefault="00CD74B5" w:rsidP="00D15B47">
      <w:pPr>
        <w:spacing w:before="120" w:line="240" w:lineRule="auto"/>
        <w:jc w:val="both"/>
        <w:rPr>
          <w:rFonts w:asciiTheme="minorHAnsi" w:eastAsiaTheme="minorHAnsi" w:hAnsiTheme="minorHAnsi" w:cstheme="minorHAnsi"/>
          <w:sz w:val="24"/>
          <w:szCs w:val="24"/>
        </w:rPr>
      </w:pPr>
      <w:r w:rsidRPr="00A01580">
        <w:rPr>
          <w:rFonts w:asciiTheme="minorHAnsi" w:eastAsiaTheme="minorHAnsi" w:hAnsiTheme="minorHAnsi" w:cstheme="minorHAnsi"/>
          <w:sz w:val="24"/>
          <w:szCs w:val="24"/>
        </w:rPr>
        <w:t xml:space="preserve">O artigo 56 da Lei 42/2007 de Patrimonio Natural e da Biodiversidade establece a protección para todas as especies amparadas por tratados e convenios internacionais, como o de Berna, ratificado por España, polo que en caso de non ter dita consideración estariamos ante un incumprimento flagrante das obrigacións derivadas do Convenio de Berna, e da subseguinte Directiva Hábitats 92/43/CEE, en relación a unha especie protexida e de interese comunitario como o Lobo. </w:t>
      </w:r>
    </w:p>
    <w:p w14:paraId="52754FCC" w14:textId="77777777" w:rsidR="00D15B47" w:rsidRPr="00A01580" w:rsidRDefault="00D15B47" w:rsidP="00D15B47">
      <w:pPr>
        <w:spacing w:before="120" w:line="240" w:lineRule="auto"/>
        <w:jc w:val="both"/>
        <w:rPr>
          <w:rFonts w:asciiTheme="minorHAnsi" w:eastAsiaTheme="minorHAnsi" w:hAnsiTheme="minorHAnsi" w:cstheme="minorHAnsi"/>
          <w:sz w:val="24"/>
          <w:szCs w:val="24"/>
        </w:rPr>
      </w:pPr>
    </w:p>
    <w:p w14:paraId="5B46558A" w14:textId="2A867A86" w:rsidR="004E2AC0" w:rsidRPr="009B1BBF" w:rsidRDefault="004E2AC0" w:rsidP="00246A53">
      <w:pPr>
        <w:pStyle w:val="Default"/>
        <w:numPr>
          <w:ilvl w:val="0"/>
          <w:numId w:val="11"/>
        </w:numPr>
        <w:shd w:val="clear" w:color="auto" w:fill="C6D9F1"/>
        <w:spacing w:before="120"/>
        <w:ind w:left="1843" w:hanging="1843"/>
        <w:jc w:val="both"/>
        <w:outlineLvl w:val="0"/>
        <w:rPr>
          <w:rFonts w:ascii="Calibri" w:hAnsi="Calibri" w:cs="Calibri"/>
          <w:b/>
          <w:bCs/>
        </w:rPr>
      </w:pPr>
      <w:bookmarkStart w:id="49" w:name="_Toc132510952"/>
      <w:r>
        <w:rPr>
          <w:rFonts w:ascii="Calibri" w:hAnsi="Calibri" w:cs="Calibri"/>
          <w:b/>
          <w:bCs/>
        </w:rPr>
        <w:t>Non existe estudio do retorno social do proxecto eólico.</w:t>
      </w:r>
      <w:bookmarkEnd w:id="49"/>
    </w:p>
    <w:p w14:paraId="35648D8F" w14:textId="77777777" w:rsidR="004E2AC0" w:rsidRDefault="004E2AC0" w:rsidP="00D15B47">
      <w:pPr>
        <w:spacing w:before="120" w:after="0" w:line="240" w:lineRule="auto"/>
        <w:jc w:val="both"/>
        <w:rPr>
          <w:rFonts w:asciiTheme="minorHAnsi" w:eastAsiaTheme="minorHAnsi" w:hAnsiTheme="minorHAnsi" w:cstheme="minorHAnsi"/>
          <w:sz w:val="24"/>
          <w:szCs w:val="24"/>
        </w:rPr>
      </w:pPr>
      <w:r w:rsidRPr="004E2AC0">
        <w:rPr>
          <w:rFonts w:asciiTheme="minorHAnsi" w:eastAsiaTheme="minorHAnsi" w:hAnsiTheme="minorHAnsi" w:cstheme="minorHAnsi"/>
          <w:sz w:val="24"/>
          <w:szCs w:val="24"/>
        </w:rPr>
        <w:t xml:space="preserve">A mercantil promotora non </w:t>
      </w:r>
      <w:r>
        <w:rPr>
          <w:rFonts w:asciiTheme="minorHAnsi" w:eastAsiaTheme="minorHAnsi" w:hAnsiTheme="minorHAnsi" w:cstheme="minorHAnsi"/>
          <w:sz w:val="24"/>
          <w:szCs w:val="24"/>
        </w:rPr>
        <w:t xml:space="preserve">realiza ningún estudio sobre </w:t>
      </w:r>
      <w:r w:rsidRPr="004E2AC0">
        <w:rPr>
          <w:rFonts w:asciiTheme="minorHAnsi" w:eastAsiaTheme="minorHAnsi" w:hAnsiTheme="minorHAnsi" w:cstheme="minorHAnsi"/>
          <w:sz w:val="24"/>
          <w:szCs w:val="24"/>
        </w:rPr>
        <w:t xml:space="preserve">cal é o retorno social do proxecto. O parque non xera emprego </w:t>
      </w:r>
      <w:r>
        <w:rPr>
          <w:rFonts w:asciiTheme="minorHAnsi" w:eastAsiaTheme="minorHAnsi" w:hAnsiTheme="minorHAnsi" w:cstheme="minorHAnsi"/>
          <w:sz w:val="24"/>
          <w:szCs w:val="24"/>
        </w:rPr>
        <w:t>ningún</w:t>
      </w:r>
      <w:r w:rsidRPr="004E2AC0">
        <w:rPr>
          <w:rFonts w:asciiTheme="minorHAnsi" w:eastAsiaTheme="minorHAnsi" w:hAnsiTheme="minorHAnsi" w:cstheme="minorHAnsi"/>
          <w:sz w:val="24"/>
          <w:szCs w:val="24"/>
        </w:rPr>
        <w:t xml:space="preserve"> de calidade (trátase de emprego temporal e só durante a instalación do parque) nin repercute en modo algún de forma positiva na economía da zona. </w:t>
      </w:r>
    </w:p>
    <w:p w14:paraId="2600B160" w14:textId="45F6810A" w:rsidR="004E2AC0" w:rsidRPr="004E2AC0" w:rsidRDefault="004E2AC0" w:rsidP="004E2AC0">
      <w:pPr>
        <w:spacing w:before="120" w:after="0" w:line="240" w:lineRule="auto"/>
        <w:jc w:val="both"/>
        <w:rPr>
          <w:rFonts w:asciiTheme="minorHAnsi" w:eastAsiaTheme="minorHAnsi" w:hAnsiTheme="minorHAnsi" w:cstheme="minorHAnsi"/>
          <w:sz w:val="24"/>
          <w:szCs w:val="24"/>
        </w:rPr>
      </w:pPr>
      <w:r w:rsidRPr="004E2AC0">
        <w:rPr>
          <w:rFonts w:asciiTheme="minorHAnsi" w:eastAsiaTheme="minorHAnsi" w:hAnsiTheme="minorHAnsi" w:cstheme="minorHAnsi"/>
          <w:sz w:val="24"/>
          <w:szCs w:val="24"/>
        </w:rPr>
        <w:lastRenderedPageBreak/>
        <w:t>Todo o contrario: a severa afección paisaxística, ambiental e patrimonial afectará gravemente e de xeito irreversible ao benestar das familias, ao des</w:t>
      </w:r>
      <w:r w:rsidR="00EA1876">
        <w:rPr>
          <w:rFonts w:asciiTheme="minorHAnsi" w:eastAsiaTheme="minorHAnsi" w:hAnsiTheme="minorHAnsi" w:cstheme="minorHAnsi"/>
          <w:sz w:val="24"/>
          <w:szCs w:val="24"/>
        </w:rPr>
        <w:t>envolvemento</w:t>
      </w:r>
      <w:r w:rsidRPr="004E2AC0">
        <w:rPr>
          <w:rFonts w:asciiTheme="minorHAnsi" w:eastAsiaTheme="minorHAnsi" w:hAnsiTheme="minorHAnsi" w:cstheme="minorHAnsi"/>
          <w:sz w:val="24"/>
          <w:szCs w:val="24"/>
        </w:rPr>
        <w:t xml:space="preserve"> da hostalería e do turismo e prevese que contrariamente ao que indican, a afección aos recursos hídricos da zona e ás brañas sexa irreversible.</w:t>
      </w:r>
    </w:p>
    <w:p w14:paraId="7F759680" w14:textId="77777777" w:rsidR="00CD74B5" w:rsidRDefault="00CD74B5" w:rsidP="004C4B07">
      <w:pPr>
        <w:spacing w:before="120" w:after="0" w:line="240" w:lineRule="auto"/>
        <w:jc w:val="both"/>
        <w:rPr>
          <w:rFonts w:cs="Arial"/>
          <w:color w:val="000000"/>
          <w:sz w:val="24"/>
          <w:szCs w:val="24"/>
        </w:rPr>
      </w:pPr>
    </w:p>
    <w:p w14:paraId="4B8796E8" w14:textId="62D0978B" w:rsidR="00BC0247" w:rsidRDefault="00BC0247" w:rsidP="00D44740">
      <w:pPr>
        <w:pStyle w:val="Default"/>
        <w:shd w:val="clear" w:color="auto" w:fill="C6D9F1"/>
        <w:spacing w:before="120"/>
        <w:ind w:left="1843" w:hanging="1843"/>
        <w:jc w:val="both"/>
        <w:outlineLvl w:val="0"/>
        <w:rPr>
          <w:rFonts w:ascii="Calibri" w:hAnsi="Calibri" w:cs="Calibri"/>
          <w:b/>
          <w:bCs/>
        </w:rPr>
      </w:pPr>
      <w:bookmarkStart w:id="50" w:name="_Toc132510953"/>
      <w:r>
        <w:rPr>
          <w:rFonts w:ascii="Calibri" w:hAnsi="Calibri" w:cs="Calibri"/>
          <w:b/>
          <w:bCs/>
        </w:rPr>
        <w:t>ALEGACIÓN 1</w:t>
      </w:r>
      <w:r w:rsidR="00554BDF">
        <w:rPr>
          <w:rFonts w:ascii="Calibri" w:hAnsi="Calibri" w:cs="Calibri"/>
          <w:b/>
          <w:bCs/>
        </w:rPr>
        <w:t>7</w:t>
      </w:r>
      <w:r>
        <w:rPr>
          <w:rFonts w:ascii="Calibri" w:hAnsi="Calibri" w:cs="Calibri"/>
          <w:b/>
          <w:bCs/>
        </w:rPr>
        <w:t>.</w:t>
      </w:r>
      <w:r w:rsidR="00D46D97">
        <w:rPr>
          <w:rFonts w:ascii="Calibri" w:hAnsi="Calibri" w:cs="Calibri"/>
          <w:b/>
          <w:bCs/>
        </w:rPr>
        <w:t>-</w:t>
      </w:r>
      <w:r>
        <w:rPr>
          <w:rFonts w:ascii="Calibri" w:hAnsi="Calibri" w:cs="Calibri"/>
          <w:b/>
          <w:bCs/>
        </w:rPr>
        <w:t xml:space="preserve"> Vulneración da Ley 21/2003 de avaliación ambiental (BOE do 11 de decembro de 2013).</w:t>
      </w:r>
      <w:bookmarkEnd w:id="50"/>
    </w:p>
    <w:p w14:paraId="2BB5245D" w14:textId="77777777" w:rsidR="00BC0247" w:rsidRDefault="00BC0247" w:rsidP="00D46D97">
      <w:pPr>
        <w:pStyle w:val="Default"/>
        <w:spacing w:before="120"/>
        <w:jc w:val="both"/>
        <w:rPr>
          <w:rFonts w:ascii="Calibri" w:hAnsi="Calibri"/>
        </w:rPr>
      </w:pPr>
      <w:r>
        <w:rPr>
          <w:rFonts w:ascii="Calibri" w:hAnsi="Calibri"/>
        </w:rPr>
        <w:t>O EsIA incumpre as determinacións da Ley 21/2013, de 9 de diciembre, de evaluación ambiental (BOE do 11 de decembro de 2013), ANEXO VI.</w:t>
      </w:r>
    </w:p>
    <w:p w14:paraId="5F40D4B5" w14:textId="77777777" w:rsidR="00BC0247" w:rsidRDefault="00BC0247" w:rsidP="00D46D97">
      <w:pPr>
        <w:spacing w:before="120" w:after="0" w:line="240" w:lineRule="auto"/>
        <w:ind w:left="360" w:right="720"/>
        <w:jc w:val="both"/>
        <w:rPr>
          <w:rFonts w:cs="Calibri"/>
          <w:i/>
        </w:rPr>
      </w:pPr>
      <w:r>
        <w:rPr>
          <w:rFonts w:cs="Calibri"/>
          <w:i/>
        </w:rPr>
        <w:t>3. Inventario ambiental, y descripción de los procesos e interacciones ecológicas o ambientales claves.</w:t>
      </w:r>
    </w:p>
    <w:p w14:paraId="552D0430" w14:textId="77777777" w:rsidR="00BC0247" w:rsidRDefault="00BC0247" w:rsidP="00D46D97">
      <w:pPr>
        <w:spacing w:before="120" w:after="0" w:line="240" w:lineRule="auto"/>
        <w:ind w:left="360" w:right="720"/>
        <w:jc w:val="both"/>
        <w:rPr>
          <w:rFonts w:cs="Calibri"/>
          <w:i/>
        </w:rPr>
      </w:pPr>
      <w:r>
        <w:rPr>
          <w:rFonts w:cs="Calibri"/>
          <w:i/>
        </w:rPr>
        <w:t xml:space="preserve">a) Estudio del estado del lugar y de sus condiciones ambientales, antes de la realización de las obras, así como de los tipos existentes de ocupación del suelo y </w:t>
      </w:r>
      <w:r>
        <w:rPr>
          <w:rFonts w:cs="Calibri"/>
          <w:b/>
          <w:i/>
        </w:rPr>
        <w:t>aprovechamientos de otros recursos naturales</w:t>
      </w:r>
      <w:r>
        <w:rPr>
          <w:rFonts w:cs="Calibri"/>
          <w:i/>
        </w:rPr>
        <w:t xml:space="preserve">, </w:t>
      </w:r>
      <w:r>
        <w:rPr>
          <w:rFonts w:cs="Calibri"/>
          <w:b/>
          <w:i/>
        </w:rPr>
        <w:t>teniendo en cuenta las actividades preexistentes</w:t>
      </w:r>
      <w:r>
        <w:rPr>
          <w:rFonts w:cs="Calibri"/>
          <w:i/>
        </w:rPr>
        <w:t>.</w:t>
      </w:r>
    </w:p>
    <w:p w14:paraId="3B067683" w14:textId="77777777" w:rsidR="00BC0247" w:rsidRDefault="00BC0247" w:rsidP="00D46D97">
      <w:pPr>
        <w:pStyle w:val="Default"/>
        <w:spacing w:before="120"/>
        <w:jc w:val="both"/>
        <w:rPr>
          <w:rFonts w:ascii="Calibri" w:hAnsi="Calibri"/>
        </w:rPr>
      </w:pPr>
      <w:r>
        <w:rPr>
          <w:rFonts w:ascii="Calibri" w:hAnsi="Calibri"/>
        </w:rPr>
        <w:t>Non se ten en conta o aproveitamento doutros recursos naturais en relación as actividades preexistente, por exemplo, o uso das augas superficias e subterráneas para consumo agrícola, gandeiro e doméstico, os usos relacionados co aproveitamento dos recursos educativos dos centros de ensino da contorna, os usos no campo da investigación científica, as actividades lúdicas das que se falará máis adiante en relación á actividade turística, etc…</w:t>
      </w:r>
    </w:p>
    <w:p w14:paraId="01FD479A" w14:textId="77777777" w:rsidR="00BC0247" w:rsidRDefault="00BC0247" w:rsidP="00D46D97">
      <w:pPr>
        <w:spacing w:before="120" w:after="0" w:line="240" w:lineRule="auto"/>
        <w:ind w:left="360" w:right="720"/>
        <w:jc w:val="both"/>
        <w:rPr>
          <w:rFonts w:cs="Calibri"/>
          <w:i/>
        </w:rPr>
      </w:pPr>
      <w:r>
        <w:rPr>
          <w:rFonts w:cs="Calibri"/>
          <w:i/>
        </w:rPr>
        <w:t xml:space="preserve">b) Descripción, </w:t>
      </w:r>
      <w:r>
        <w:rPr>
          <w:rFonts w:cs="Calibri"/>
          <w:b/>
          <w:i/>
        </w:rPr>
        <w:t>censo</w:t>
      </w:r>
      <w:r>
        <w:rPr>
          <w:rFonts w:cs="Calibri"/>
          <w:i/>
        </w:rPr>
        <w:t xml:space="preserve">, inventario, </w:t>
      </w:r>
      <w:r>
        <w:rPr>
          <w:rFonts w:cs="Calibri"/>
          <w:b/>
          <w:i/>
        </w:rPr>
        <w:t>cuantificación</w:t>
      </w:r>
      <w:r>
        <w:rPr>
          <w:rFonts w:cs="Calibri"/>
          <w:i/>
        </w:rPr>
        <w:t xml:space="preserve"> y, en su caso, </w:t>
      </w:r>
      <w:r>
        <w:rPr>
          <w:rFonts w:cs="Calibri"/>
          <w:b/>
          <w:i/>
        </w:rPr>
        <w:t>cartografía</w:t>
      </w:r>
      <w:r>
        <w:rPr>
          <w:rFonts w:cs="Calibri"/>
          <w:i/>
        </w:rPr>
        <w:t>, de todos los factores definidos en el artículo 35, apartado 1, letra c), que puedan verse afectados por el proyecto: la población, la salud humana, la biodiversidad (por ejemplo, la fauna y la flora), la tierra (por ejemplo, ocupación del terreno), la geodiversidad, el suelo (por ejemplo, materia orgánica, erosión, compactación y sellado), el subsuelo, el agua (por ejemplo, modificaciones hidromorfológicas, cantidad y calidad), el medio marino, el aire, el clima (por ejemplo, emisiones de gases de efecto invernadero, impactos significativos para la adaptación), el cambio climático, los bienes materiales, el patrimonio cultural, así como los aspectos arquitectónicos y arqueológicos, el paisaje en los términos del Convenio Europeo del Paisaje, y la interacción entre todos los factores mencionados.</w:t>
      </w:r>
    </w:p>
    <w:p w14:paraId="6CB08169" w14:textId="77777777" w:rsidR="00BC0247" w:rsidRDefault="00BC0247" w:rsidP="00D46D97">
      <w:pPr>
        <w:spacing w:before="120" w:after="0" w:line="240" w:lineRule="auto"/>
        <w:ind w:left="360" w:right="720"/>
        <w:jc w:val="both"/>
        <w:rPr>
          <w:rFonts w:cs="Calibri"/>
          <w:i/>
        </w:rPr>
      </w:pPr>
      <w:r>
        <w:rPr>
          <w:rFonts w:cs="Calibri"/>
          <w:i/>
        </w:rPr>
        <w:t>En su caso, para las masas de agua afectadas se establecerá: su naturaleza, caracterización del estado, presiones, impactos y objetivos ambientales asignados por la planificación hidrológica.</w:t>
      </w:r>
    </w:p>
    <w:p w14:paraId="4A618844" w14:textId="77777777" w:rsidR="00BC0247" w:rsidRDefault="00BC0247" w:rsidP="00D46D97">
      <w:pPr>
        <w:spacing w:before="120" w:after="0" w:line="240" w:lineRule="auto"/>
        <w:ind w:left="540" w:right="1124"/>
        <w:jc w:val="both"/>
        <w:rPr>
          <w:rFonts w:cs="Calibri"/>
          <w:i/>
        </w:rPr>
      </w:pPr>
      <w:r>
        <w:rPr>
          <w:rFonts w:cs="Calibri"/>
          <w:i/>
        </w:rPr>
        <w:t>Artigo35, apartado 1, letra c)</w:t>
      </w:r>
    </w:p>
    <w:p w14:paraId="1AB5717F" w14:textId="77777777" w:rsidR="00BC0247" w:rsidRDefault="00BC0247" w:rsidP="00D46D97">
      <w:pPr>
        <w:spacing w:before="120" w:after="0" w:line="240" w:lineRule="auto"/>
        <w:ind w:left="540" w:right="1124"/>
        <w:jc w:val="both"/>
        <w:rPr>
          <w:rFonts w:cs="Calibri"/>
          <w:i/>
        </w:rPr>
      </w:pPr>
      <w:r>
        <w:rPr>
          <w:rFonts w:cs="Calibri"/>
          <w:i/>
        </w:rPr>
        <w:t xml:space="preserve">c) Identificación, descripción, análisis y, si procede, cuantificación de los posibles </w:t>
      </w:r>
      <w:r>
        <w:rPr>
          <w:rFonts w:cs="Calibri"/>
          <w:b/>
          <w:i/>
        </w:rPr>
        <w:t>efectos significativos directos o indirectos, secundarios, acumulativos y sinérgicos</w:t>
      </w:r>
      <w:r>
        <w:rPr>
          <w:rFonts w:cs="Calibri"/>
          <w:i/>
        </w:rPr>
        <w:t xml:space="preserve"> del proyecto sobre los siguientes factores: la población, la salud humana, la flora, la fauna, la biodiversidad, la </w:t>
      </w:r>
      <w:r>
        <w:rPr>
          <w:rFonts w:cs="Calibri"/>
          <w:b/>
          <w:i/>
        </w:rPr>
        <w:t>geodiversidad</w:t>
      </w:r>
      <w:r>
        <w:rPr>
          <w:rFonts w:cs="Calibri"/>
          <w:i/>
        </w:rPr>
        <w:t xml:space="preserve">, </w:t>
      </w:r>
      <w:r>
        <w:rPr>
          <w:rFonts w:cs="Calibri"/>
          <w:b/>
          <w:i/>
        </w:rPr>
        <w:t>el suelo</w:t>
      </w:r>
      <w:r>
        <w:rPr>
          <w:rFonts w:cs="Calibri"/>
          <w:i/>
        </w:rPr>
        <w:t xml:space="preserve">, </w:t>
      </w:r>
      <w:r>
        <w:rPr>
          <w:rFonts w:cs="Calibri"/>
          <w:b/>
          <w:i/>
        </w:rPr>
        <w:t>el subsuelo</w:t>
      </w:r>
      <w:r>
        <w:rPr>
          <w:rFonts w:cs="Calibri"/>
          <w:i/>
        </w:rPr>
        <w:t xml:space="preserve">, el aire, </w:t>
      </w:r>
      <w:r>
        <w:rPr>
          <w:rFonts w:cs="Calibri"/>
          <w:b/>
          <w:i/>
        </w:rPr>
        <w:t>el agua</w:t>
      </w:r>
      <w:r>
        <w:rPr>
          <w:rFonts w:cs="Calibri"/>
          <w:i/>
        </w:rPr>
        <w:t xml:space="preserve">, el medio marino, el clima, el cambio climático, </w:t>
      </w:r>
      <w:r>
        <w:rPr>
          <w:rFonts w:cs="Calibri"/>
          <w:b/>
          <w:i/>
        </w:rPr>
        <w:t>el paisaje</w:t>
      </w:r>
      <w:r>
        <w:rPr>
          <w:rFonts w:cs="Calibri"/>
          <w:i/>
        </w:rPr>
        <w:t>, los bienes materiales, el patrimonio cultural, y la interacción entre todos los factores mencionados, durante las fases de ejecución, explotación y en su caso durante la demolición o abandono del proyecto.</w:t>
      </w:r>
    </w:p>
    <w:p w14:paraId="3DCFD1FB" w14:textId="77777777" w:rsidR="00BC0247" w:rsidRDefault="00BC0247" w:rsidP="00D46D97">
      <w:pPr>
        <w:pStyle w:val="Default"/>
        <w:spacing w:before="120"/>
        <w:jc w:val="both"/>
        <w:rPr>
          <w:rFonts w:ascii="Calibri" w:hAnsi="Calibri"/>
        </w:rPr>
      </w:pPr>
      <w:r>
        <w:rPr>
          <w:rFonts w:ascii="Calibri" w:hAnsi="Calibri"/>
        </w:rPr>
        <w:t>Como se exporá ó longo das seguintes alegacións, son moitos os aspectos que poñen en evidencia unha deficiente avaliación dos efectos directos, indirectos, secundarios, acumulativos e sinérxicos. Non se teñen en conta os efectos sobre a xeodiversidade, o solo, o subsolo, as augas superficiais e subterráneas ou a paisaxe, entre outros.</w:t>
      </w:r>
    </w:p>
    <w:p w14:paraId="68B7508A" w14:textId="77777777" w:rsidR="00BC0247" w:rsidRDefault="00BC0247" w:rsidP="00D46D97">
      <w:pPr>
        <w:spacing w:before="120" w:after="0" w:line="240" w:lineRule="auto"/>
        <w:ind w:left="360" w:right="720"/>
        <w:jc w:val="both"/>
        <w:rPr>
          <w:rFonts w:cs="Calibri"/>
          <w:i/>
        </w:rPr>
      </w:pPr>
      <w:r>
        <w:rPr>
          <w:rFonts w:cs="Calibri"/>
          <w:i/>
        </w:rPr>
        <w:t xml:space="preserve">c) Descripción de las </w:t>
      </w:r>
      <w:r>
        <w:rPr>
          <w:rFonts w:cs="Calibri"/>
          <w:b/>
          <w:i/>
        </w:rPr>
        <w:t>interacciones ecológicas claves</w:t>
      </w:r>
      <w:r>
        <w:rPr>
          <w:rFonts w:cs="Calibri"/>
          <w:i/>
        </w:rPr>
        <w:t xml:space="preserve">, y su </w:t>
      </w:r>
      <w:r>
        <w:rPr>
          <w:rFonts w:cs="Calibri"/>
          <w:b/>
          <w:i/>
        </w:rPr>
        <w:t>justificación</w:t>
      </w:r>
      <w:r>
        <w:rPr>
          <w:rFonts w:cs="Calibri"/>
          <w:i/>
        </w:rPr>
        <w:t>.</w:t>
      </w:r>
    </w:p>
    <w:p w14:paraId="5B99AD7A" w14:textId="77777777" w:rsidR="00BC0247" w:rsidRDefault="00BC0247" w:rsidP="00D46D97">
      <w:pPr>
        <w:pStyle w:val="Default"/>
        <w:spacing w:before="120"/>
        <w:jc w:val="both"/>
        <w:rPr>
          <w:rFonts w:ascii="Calibri" w:hAnsi="Calibri"/>
        </w:rPr>
      </w:pPr>
      <w:r>
        <w:rPr>
          <w:rFonts w:ascii="Calibri" w:hAnsi="Calibri"/>
        </w:rPr>
        <w:lastRenderedPageBreak/>
        <w:t xml:space="preserve">Non se ofrece unha identificación das interaccións ecolóxicas clave e polo tanto non quedan xustificadas as conclusións do EsIA que semella ser un documento feito </w:t>
      </w:r>
      <w:r>
        <w:rPr>
          <w:rFonts w:ascii="Calibri" w:hAnsi="Calibri"/>
          <w:i/>
        </w:rPr>
        <w:t>ad oc</w:t>
      </w:r>
      <w:r>
        <w:rPr>
          <w:rFonts w:ascii="Calibri" w:hAnsi="Calibri"/>
        </w:rPr>
        <w:t xml:space="preserve"> para xustificar a idoneidade do proxecto e da alternativa escollida.</w:t>
      </w:r>
    </w:p>
    <w:p w14:paraId="31A0F803" w14:textId="77777777" w:rsidR="00BC0247" w:rsidRDefault="00BC0247" w:rsidP="00D46D97">
      <w:pPr>
        <w:spacing w:before="120" w:after="0" w:line="240" w:lineRule="auto"/>
        <w:ind w:left="360" w:right="720"/>
        <w:jc w:val="both"/>
        <w:rPr>
          <w:rFonts w:cs="Calibri"/>
          <w:i/>
        </w:rPr>
      </w:pPr>
      <w:r>
        <w:rPr>
          <w:rFonts w:cs="Calibri"/>
          <w:i/>
        </w:rPr>
        <w:t xml:space="preserve">d) </w:t>
      </w:r>
      <w:r>
        <w:rPr>
          <w:rFonts w:cs="Calibri"/>
          <w:b/>
          <w:i/>
        </w:rPr>
        <w:t>Delimitación y descripción cartografiada</w:t>
      </w:r>
      <w:r>
        <w:rPr>
          <w:rFonts w:cs="Calibri"/>
          <w:i/>
        </w:rPr>
        <w:t xml:space="preserve"> del territorio afectado por el proyecto, para cada uno de los aspectos ambientales definidos.</w:t>
      </w:r>
    </w:p>
    <w:p w14:paraId="07576B00" w14:textId="77777777" w:rsidR="00BC0247" w:rsidRDefault="00BC0247" w:rsidP="00D46D97">
      <w:pPr>
        <w:pStyle w:val="Default"/>
        <w:spacing w:before="120"/>
        <w:jc w:val="both"/>
        <w:rPr>
          <w:rFonts w:ascii="Calibri" w:hAnsi="Calibri"/>
        </w:rPr>
      </w:pPr>
      <w:r>
        <w:rPr>
          <w:rFonts w:ascii="Calibri" w:hAnsi="Calibri"/>
        </w:rPr>
        <w:t>Non se delimitan nin se cartografían importantes aspectos ambientais. Por citar algúns, non se delimitan os hábitats de interés comunitario, Non se delimitan as áreas de protección eólica dos aeroxeradores, non se cartografían os cambios na vexetación, etc.</w:t>
      </w:r>
    </w:p>
    <w:p w14:paraId="3FB0A5A8" w14:textId="77777777" w:rsidR="00BC0247" w:rsidRDefault="00BC0247" w:rsidP="00D46D97">
      <w:pPr>
        <w:spacing w:before="120" w:after="0" w:line="240" w:lineRule="auto"/>
        <w:ind w:left="360" w:right="720"/>
        <w:jc w:val="both"/>
        <w:rPr>
          <w:rFonts w:cs="Calibri"/>
          <w:i/>
        </w:rPr>
      </w:pPr>
      <w:r>
        <w:rPr>
          <w:rFonts w:cs="Calibri"/>
          <w:i/>
        </w:rPr>
        <w:t>4. Identificación y valoración de impactos, tanto en la solución propuesta, como en sus alternativas.</w:t>
      </w:r>
    </w:p>
    <w:p w14:paraId="76D002E2" w14:textId="77777777" w:rsidR="00BC0247" w:rsidRDefault="00BC0247" w:rsidP="00D46D97">
      <w:pPr>
        <w:spacing w:before="120" w:after="0" w:line="240" w:lineRule="auto"/>
        <w:ind w:left="360" w:right="720"/>
        <w:jc w:val="both"/>
        <w:rPr>
          <w:rFonts w:cs="Calibri"/>
          <w:i/>
        </w:rPr>
      </w:pPr>
      <w:r>
        <w:rPr>
          <w:rFonts w:cs="Calibri"/>
          <w:i/>
        </w:rPr>
        <w:t>b) Necesariamente, la identificación de los impactos ambientales derivará del estudio de las interacciones, entre las acciones derivadas del proyecto y las características específicas de los aspectos ambientales afectados en cada caso concreto. Entre las acciones a estudiar figurarán las siguientes:</w:t>
      </w:r>
    </w:p>
    <w:p w14:paraId="250B84AD" w14:textId="77777777" w:rsidR="00BC0247" w:rsidRDefault="00BC0247" w:rsidP="00D46D97">
      <w:pPr>
        <w:spacing w:before="120" w:after="0" w:line="240" w:lineRule="auto"/>
        <w:ind w:left="360" w:right="720"/>
        <w:jc w:val="both"/>
        <w:rPr>
          <w:rFonts w:cs="Calibri"/>
          <w:i/>
        </w:rPr>
      </w:pPr>
      <w:r>
        <w:rPr>
          <w:rFonts w:cs="Calibri"/>
          <w:i/>
        </w:rPr>
        <w:t xml:space="preserve">5.º </w:t>
      </w:r>
      <w:r>
        <w:rPr>
          <w:rFonts w:cs="Calibri"/>
          <w:b/>
          <w:i/>
        </w:rPr>
        <w:t>La acumulación de los efectos del proyecto con otros proyectos</w:t>
      </w:r>
      <w:r>
        <w:rPr>
          <w:rFonts w:cs="Calibri"/>
          <w:i/>
        </w:rPr>
        <w:t>, existentes y/o aprobados, teniendo en cuenta los problemas medioambientales existentes relacionados con zonas de importancia medioambiental especial, que podrían verse afectadas o el uso de los recursos naturales.</w:t>
      </w:r>
    </w:p>
    <w:p w14:paraId="45ED9BF7" w14:textId="77777777" w:rsidR="00BC0247" w:rsidRDefault="00BC0247" w:rsidP="00D46D97">
      <w:pPr>
        <w:pStyle w:val="Default"/>
        <w:spacing w:before="120"/>
        <w:jc w:val="both"/>
        <w:rPr>
          <w:rFonts w:ascii="Calibri" w:hAnsi="Calibri"/>
        </w:rPr>
      </w:pPr>
      <w:r>
        <w:rPr>
          <w:rFonts w:ascii="Calibri" w:hAnsi="Calibri"/>
        </w:rPr>
        <w:t>Non se realiza unha avaliación dos efectos acumulativos a curto, medio e longo prazo cos demáis proxectos eólicos na Serra da Groba nos diferentes aspectos ambientais afectados.</w:t>
      </w:r>
    </w:p>
    <w:p w14:paraId="478538A2" w14:textId="77777777" w:rsidR="00BC0247" w:rsidRDefault="00BC0247" w:rsidP="00D46D97">
      <w:pPr>
        <w:spacing w:before="120" w:after="0" w:line="240" w:lineRule="auto"/>
        <w:ind w:left="360" w:right="720"/>
        <w:jc w:val="both"/>
        <w:rPr>
          <w:rFonts w:cs="Calibri"/>
          <w:i/>
        </w:rPr>
      </w:pPr>
      <w:r>
        <w:rPr>
          <w:rFonts w:cs="Calibri"/>
          <w:i/>
        </w:rPr>
        <w:t xml:space="preserve">6.º… En su caso, se deberán estudiar las repercusiones del proyecto sobre los diferentes elementos de calidad que definen el estado o potencial de las </w:t>
      </w:r>
      <w:r>
        <w:rPr>
          <w:rFonts w:cs="Calibri"/>
          <w:b/>
          <w:i/>
        </w:rPr>
        <w:t>masas de agua afectadas</w:t>
      </w:r>
      <w:r>
        <w:rPr>
          <w:rFonts w:cs="Calibri"/>
          <w:i/>
        </w:rPr>
        <w:t>.</w:t>
      </w:r>
    </w:p>
    <w:p w14:paraId="5CDA79E3" w14:textId="77777777" w:rsidR="00BC0247" w:rsidRDefault="00BC0247" w:rsidP="00D46D97">
      <w:pPr>
        <w:pStyle w:val="Default"/>
        <w:spacing w:before="120"/>
        <w:jc w:val="both"/>
        <w:rPr>
          <w:rFonts w:ascii="Calibri" w:hAnsi="Calibri"/>
        </w:rPr>
      </w:pPr>
      <w:r>
        <w:rPr>
          <w:rFonts w:ascii="Calibri" w:hAnsi="Calibri"/>
        </w:rPr>
        <w:t>Como se indicará posteriormente, no se inclúe un estudo hidrolóxico nin hidroxeolóxico que permita unha adecuada avaliación sobre as masas de auga superficiais e subteráneas afectadas.</w:t>
      </w:r>
    </w:p>
    <w:p w14:paraId="4482EDE7" w14:textId="77777777" w:rsidR="00BC0247" w:rsidRDefault="00BC0247" w:rsidP="00D46D97">
      <w:pPr>
        <w:spacing w:before="120" w:after="0" w:line="240" w:lineRule="auto"/>
        <w:ind w:left="360" w:right="720"/>
        <w:jc w:val="both"/>
        <w:rPr>
          <w:rFonts w:cs="Calibri"/>
          <w:i/>
        </w:rPr>
      </w:pPr>
      <w:r>
        <w:rPr>
          <w:rFonts w:cs="Calibri"/>
          <w:i/>
        </w:rPr>
        <w:t xml:space="preserve">La descripción de los métodos de previsión o de los datos utilizados para definir y evaluar los efectos significativos en el medio ambiente, incluidos detalles sobre dificultades (por ejemplo, deficiencias técnicas o falta de conocimientos) a las que se ha tenido que hacer frente al recopilar la información, y las </w:t>
      </w:r>
      <w:r>
        <w:rPr>
          <w:rFonts w:cs="Calibri"/>
          <w:b/>
          <w:i/>
        </w:rPr>
        <w:t>principales incertidumbres que conllevan</w:t>
      </w:r>
      <w:r>
        <w:rPr>
          <w:rFonts w:cs="Calibri"/>
          <w:i/>
        </w:rPr>
        <w:t>.</w:t>
      </w:r>
    </w:p>
    <w:p w14:paraId="6DED9B18" w14:textId="7F7347D0" w:rsidR="00BC0247" w:rsidRDefault="00BC0247" w:rsidP="00D46D97">
      <w:pPr>
        <w:pStyle w:val="Default"/>
        <w:spacing w:before="120"/>
        <w:jc w:val="both"/>
        <w:rPr>
          <w:rFonts w:ascii="Calibri" w:hAnsi="Calibri"/>
        </w:rPr>
      </w:pPr>
      <w:r>
        <w:rPr>
          <w:rFonts w:ascii="Calibri" w:hAnsi="Calibri"/>
        </w:rPr>
        <w:t>Existe abundante bibliografía científica que cuestiona gran parte da metoloxía aplicada neste EsIA e mesmo que cuestiona moitos dos proce</w:t>
      </w:r>
      <w:r w:rsidR="00BC37B0">
        <w:rPr>
          <w:rFonts w:ascii="Calibri" w:hAnsi="Calibri"/>
        </w:rPr>
        <w:t>de</w:t>
      </w:r>
      <w:r>
        <w:rPr>
          <w:rFonts w:ascii="Calibri" w:hAnsi="Calibri"/>
        </w:rPr>
        <w:t>mentos que se están levando a cabo no deseño, execución, funcionamento e desma</w:t>
      </w:r>
      <w:r w:rsidR="00636DC2">
        <w:rPr>
          <w:rFonts w:ascii="Calibri" w:hAnsi="Calibri"/>
        </w:rPr>
        <w:t>n</w:t>
      </w:r>
      <w:r>
        <w:rPr>
          <w:rFonts w:ascii="Calibri" w:hAnsi="Calibri"/>
        </w:rPr>
        <w:t>telamento dos actuais PEs. En ningún momento se analizan estes incertidumes e polo tanto en ningún caso se propón aplicar o principio de cautela.</w:t>
      </w:r>
    </w:p>
    <w:p w14:paraId="4F63E24D" w14:textId="77777777" w:rsidR="00BC0247" w:rsidRDefault="00BC0247" w:rsidP="00D46D97">
      <w:pPr>
        <w:spacing w:before="120" w:after="0" w:line="240" w:lineRule="auto"/>
        <w:ind w:left="360" w:right="720"/>
        <w:jc w:val="both"/>
        <w:rPr>
          <w:rFonts w:cs="Calibri"/>
          <w:i/>
        </w:rPr>
      </w:pPr>
      <w:r>
        <w:rPr>
          <w:rFonts w:cs="Calibri"/>
          <w:i/>
        </w:rPr>
        <w:t>c) La cuantificación de los efectos significativos de un plan, programa o proyecto sobre el medio ambiente consistirá en la identificación y descripción, mediante datos mensurables, de las variaciones previstas de los hábitats y de las especies afectadas, como consecuencia del desarrollo del plan o programa, o por la ejecución del proyecto. Se medirán en particular las variaciones previstas en:</w:t>
      </w:r>
    </w:p>
    <w:p w14:paraId="45ED841B" w14:textId="77777777" w:rsidR="00BC0247" w:rsidRDefault="00BC0247" w:rsidP="00D46D97">
      <w:pPr>
        <w:spacing w:before="120" w:after="0" w:line="240" w:lineRule="auto"/>
        <w:ind w:left="360" w:right="720"/>
        <w:jc w:val="both"/>
        <w:rPr>
          <w:rFonts w:cs="Calibri"/>
          <w:b/>
          <w:i/>
        </w:rPr>
      </w:pPr>
      <w:r>
        <w:rPr>
          <w:rFonts w:cs="Calibri"/>
          <w:i/>
        </w:rPr>
        <w:t xml:space="preserve">1.º </w:t>
      </w:r>
      <w:r>
        <w:rPr>
          <w:rFonts w:cs="Calibri"/>
          <w:b/>
          <w:i/>
        </w:rPr>
        <w:t>Superficie del hábitat o tamaño de la población afectada, directa o indirectamente, a través de las cadenas tróficas, o de los vectores ambientales, en concreto, flujos de agua, residuos, energía o atmosféricos, suelo, ribera del mar y de las rías. Para ello se utilizarán unidades biofísicas del hábitat o especie afectadas.</w:t>
      </w:r>
    </w:p>
    <w:p w14:paraId="43F1DB5F" w14:textId="0496ECE1" w:rsidR="00BC0247" w:rsidRDefault="00BC0247" w:rsidP="00D46D97">
      <w:pPr>
        <w:pStyle w:val="Default"/>
        <w:spacing w:before="120"/>
        <w:jc w:val="both"/>
        <w:rPr>
          <w:rFonts w:ascii="Calibri" w:hAnsi="Calibri"/>
        </w:rPr>
      </w:pPr>
      <w:r>
        <w:rPr>
          <w:rFonts w:ascii="Calibri" w:hAnsi="Calibri"/>
        </w:rPr>
        <w:t>Non existe no EsIA nada que de cumprimento deste punto da Lei</w:t>
      </w:r>
    </w:p>
    <w:p w14:paraId="3079A401" w14:textId="77777777" w:rsidR="00BC0247" w:rsidRDefault="00BC0247" w:rsidP="00D46D97">
      <w:pPr>
        <w:spacing w:before="120" w:after="0" w:line="240" w:lineRule="auto"/>
        <w:ind w:left="360" w:right="720"/>
        <w:jc w:val="both"/>
        <w:rPr>
          <w:rFonts w:cs="Calibri"/>
          <w:i/>
        </w:rPr>
      </w:pPr>
      <w:r>
        <w:rPr>
          <w:rFonts w:cs="Calibri"/>
          <w:i/>
        </w:rPr>
        <w:t xml:space="preserve">4.º La </w:t>
      </w:r>
      <w:r>
        <w:rPr>
          <w:rFonts w:cs="Calibri"/>
          <w:b/>
          <w:i/>
        </w:rPr>
        <w:t>abundancia</w:t>
      </w:r>
      <w:r>
        <w:rPr>
          <w:rFonts w:cs="Calibri"/>
          <w:i/>
        </w:rPr>
        <w:t xml:space="preserve"> o </w:t>
      </w:r>
      <w:r>
        <w:rPr>
          <w:rFonts w:cs="Calibri"/>
          <w:b/>
          <w:i/>
        </w:rPr>
        <w:t>número de individuos</w:t>
      </w:r>
      <w:r>
        <w:rPr>
          <w:rFonts w:cs="Calibri"/>
          <w:i/>
        </w:rPr>
        <w:t xml:space="preserve">, su </w:t>
      </w:r>
      <w:r>
        <w:rPr>
          <w:rFonts w:cs="Calibri"/>
          <w:b/>
          <w:i/>
        </w:rPr>
        <w:t>densidad</w:t>
      </w:r>
      <w:r>
        <w:rPr>
          <w:rFonts w:cs="Calibri"/>
          <w:i/>
        </w:rPr>
        <w:t xml:space="preserve"> o la </w:t>
      </w:r>
      <w:r>
        <w:rPr>
          <w:rFonts w:cs="Calibri"/>
          <w:b/>
          <w:i/>
        </w:rPr>
        <w:t>extensión</w:t>
      </w:r>
      <w:r>
        <w:rPr>
          <w:rFonts w:cs="Calibri"/>
          <w:i/>
        </w:rPr>
        <w:t xml:space="preserve"> de su zona de presencia.</w:t>
      </w:r>
    </w:p>
    <w:p w14:paraId="459581B2" w14:textId="77777777" w:rsidR="00BC0247" w:rsidRDefault="00BC0247" w:rsidP="00D46D97">
      <w:pPr>
        <w:pStyle w:val="Default"/>
        <w:spacing w:before="120"/>
        <w:jc w:val="both"/>
        <w:rPr>
          <w:rFonts w:ascii="Calibri" w:hAnsi="Calibri"/>
        </w:rPr>
      </w:pPr>
      <w:r>
        <w:rPr>
          <w:rFonts w:ascii="Calibri" w:hAnsi="Calibri"/>
        </w:rPr>
        <w:lastRenderedPageBreak/>
        <w:t>O estudo da fauna potencialmente afectada non inclúe estes parámetros máis alá dun par de transectos e unhas pouca observacións puntuais.</w:t>
      </w:r>
    </w:p>
    <w:p w14:paraId="139D6082" w14:textId="77777777" w:rsidR="00BC0247" w:rsidRDefault="00BC0247" w:rsidP="00D46D97">
      <w:pPr>
        <w:spacing w:before="120" w:after="0" w:line="240" w:lineRule="auto"/>
        <w:ind w:left="360" w:right="720"/>
        <w:jc w:val="both"/>
        <w:rPr>
          <w:rFonts w:cs="Calibri"/>
          <w:i/>
        </w:rPr>
      </w:pPr>
      <w:r>
        <w:rPr>
          <w:rFonts w:cs="Calibri"/>
          <w:i/>
        </w:rPr>
        <w:t xml:space="preserve">7.º La </w:t>
      </w:r>
      <w:r>
        <w:rPr>
          <w:rFonts w:cs="Calibri"/>
          <w:b/>
          <w:i/>
        </w:rPr>
        <w:t>variación y cambios que vayan a experimentar</w:t>
      </w:r>
      <w:r>
        <w:rPr>
          <w:rFonts w:cs="Calibri"/>
          <w:i/>
        </w:rPr>
        <w:t>, entre otros, los siguientes parámetros del hábitat y especie afectado: el estado de conservación, el estado ecológico cuantitativo, la integridad física, y la estructura y función.</w:t>
      </w:r>
    </w:p>
    <w:p w14:paraId="178C22B6" w14:textId="77777777" w:rsidR="00BC0247" w:rsidRDefault="00BC0247" w:rsidP="00D46D97">
      <w:pPr>
        <w:pStyle w:val="Default"/>
        <w:spacing w:before="120"/>
        <w:jc w:val="both"/>
        <w:rPr>
          <w:rFonts w:ascii="Calibri" w:hAnsi="Calibri"/>
        </w:rPr>
      </w:pPr>
      <w:r>
        <w:rPr>
          <w:rFonts w:ascii="Calibri" w:hAnsi="Calibri"/>
        </w:rPr>
        <w:t>Dado que a caracterización dos hábitats é moi deficiente non se realiza ningunha valoración da variación e cambios que vaian a experimentar.</w:t>
      </w:r>
    </w:p>
    <w:p w14:paraId="761C5E88" w14:textId="77777777" w:rsidR="00BC0247" w:rsidRDefault="00BC0247" w:rsidP="00D46D97">
      <w:pPr>
        <w:spacing w:before="120" w:after="0" w:line="240" w:lineRule="auto"/>
        <w:ind w:left="360" w:right="720"/>
        <w:jc w:val="both"/>
        <w:rPr>
          <w:rFonts w:cs="Calibri"/>
          <w:i/>
        </w:rPr>
      </w:pPr>
      <w:r>
        <w:rPr>
          <w:rFonts w:cs="Calibri"/>
          <w:i/>
        </w:rPr>
        <w:t>8. Evaluación ambiental de repercusiones en espacios de la Red Natura 2000.</w:t>
      </w:r>
    </w:p>
    <w:p w14:paraId="39636D02" w14:textId="77777777" w:rsidR="00BC0247" w:rsidRDefault="00BC0247" w:rsidP="00D46D97">
      <w:pPr>
        <w:spacing w:before="120" w:after="0" w:line="240" w:lineRule="auto"/>
        <w:ind w:left="360" w:right="720"/>
        <w:jc w:val="both"/>
        <w:rPr>
          <w:rFonts w:cs="Calibri"/>
          <w:i/>
        </w:rPr>
      </w:pPr>
      <w:r>
        <w:rPr>
          <w:rFonts w:cs="Calibri"/>
          <w:i/>
        </w:rPr>
        <w:t>El apartado de evaluación de repercusiones del proyecto sobre la Red Natura 2000 incluirá, de manera diferenciada para cada una de las alternativas del proyecto consideradas, lo siguiente:</w:t>
      </w:r>
    </w:p>
    <w:p w14:paraId="3659CB41" w14:textId="77777777" w:rsidR="00BC0247" w:rsidRDefault="00BC0247" w:rsidP="00D46D97">
      <w:pPr>
        <w:spacing w:before="120" w:after="0" w:line="240" w:lineRule="auto"/>
        <w:ind w:left="360" w:right="720"/>
        <w:jc w:val="both"/>
        <w:rPr>
          <w:rFonts w:cs="Calibri"/>
          <w:i/>
        </w:rPr>
      </w:pPr>
      <w:r>
        <w:rPr>
          <w:rFonts w:cs="Calibri"/>
          <w:i/>
        </w:rPr>
        <w:t xml:space="preserve">a) </w:t>
      </w:r>
      <w:r>
        <w:rPr>
          <w:rFonts w:cs="Calibri"/>
          <w:b/>
          <w:i/>
        </w:rPr>
        <w:t>Identificación de los espacios afectados</w:t>
      </w:r>
      <w:r>
        <w:rPr>
          <w:rFonts w:cs="Calibri"/>
          <w:i/>
        </w:rPr>
        <w:t>,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2DD75B2D" w14:textId="77777777" w:rsidR="00BC0247" w:rsidRDefault="00BC0247" w:rsidP="00D46D97">
      <w:pPr>
        <w:pStyle w:val="Default"/>
        <w:spacing w:before="120"/>
        <w:jc w:val="both"/>
        <w:rPr>
          <w:rFonts w:ascii="Calibri" w:hAnsi="Calibri"/>
        </w:rPr>
      </w:pPr>
      <w:r>
        <w:rPr>
          <w:rFonts w:ascii="Calibri" w:hAnsi="Calibri"/>
        </w:rPr>
        <w:t>A única conclusión que aporta o EsIA é que como físicamente o PE non se sitúa sobre os espazos protexidos de Rede Natura 2000 non xenera efectos directos sobre os mesmos. Porén, dada a proximidade e ubicación das distintas áreas protexidas nas inmediacións do PE, xeneraranse múltiples efectos indirectos que non se avalían.</w:t>
      </w:r>
    </w:p>
    <w:p w14:paraId="39D189AA" w14:textId="77777777" w:rsidR="00BC0247" w:rsidRDefault="00BC0247" w:rsidP="00D46D97">
      <w:pPr>
        <w:spacing w:before="120" w:after="0" w:line="240" w:lineRule="auto"/>
        <w:ind w:left="360" w:right="720"/>
        <w:jc w:val="both"/>
        <w:rPr>
          <w:rFonts w:cs="Calibri"/>
          <w:i/>
        </w:rPr>
      </w:pPr>
      <w:r>
        <w:rPr>
          <w:rFonts w:cs="Calibri"/>
          <w:i/>
        </w:rPr>
        <w:t xml:space="preserve">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w:t>
      </w:r>
      <w:r>
        <w:rPr>
          <w:rFonts w:cs="Calibri"/>
          <w:b/>
          <w:i/>
        </w:rPr>
        <w:t>conectividad</w:t>
      </w:r>
      <w:r>
        <w:rPr>
          <w:rFonts w:cs="Calibri"/>
          <w:i/>
        </w:rPr>
        <w:t xml:space="preserve">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69B2111" w14:textId="77777777" w:rsidR="00BC0247" w:rsidRDefault="00BC0247" w:rsidP="00D46D97">
      <w:pPr>
        <w:pStyle w:val="Default"/>
        <w:spacing w:before="120"/>
        <w:jc w:val="both"/>
        <w:rPr>
          <w:rFonts w:ascii="Calibri" w:hAnsi="Calibri"/>
        </w:rPr>
      </w:pPr>
      <w:r>
        <w:rPr>
          <w:rFonts w:ascii="Calibri" w:hAnsi="Calibri"/>
        </w:rPr>
        <w:t>Non se ten en conta o papel que a Serra da Groba exerce como importante corredor ecolóxico que contribúe á conectividade dos espazos protexidos da zona sur da provincia de Pontevedra.</w:t>
      </w:r>
    </w:p>
    <w:p w14:paraId="2D0A2006" w14:textId="77777777" w:rsidR="00636DC2" w:rsidRDefault="00636DC2" w:rsidP="00D46D97">
      <w:pPr>
        <w:pStyle w:val="Default"/>
        <w:spacing w:before="120"/>
        <w:jc w:val="both"/>
        <w:rPr>
          <w:rFonts w:ascii="Calibri" w:hAnsi="Calibri"/>
        </w:rPr>
      </w:pPr>
    </w:p>
    <w:p w14:paraId="6511663A" w14:textId="36E6BD55" w:rsidR="00BC0247" w:rsidRDefault="00BC0247" w:rsidP="00BC0247">
      <w:pPr>
        <w:pStyle w:val="Prrafodelista"/>
        <w:shd w:val="clear" w:color="auto" w:fill="C6D9F1"/>
        <w:spacing w:before="120"/>
        <w:ind w:left="1843" w:hanging="1843"/>
        <w:jc w:val="both"/>
        <w:outlineLvl w:val="0"/>
        <w:rPr>
          <w:b/>
          <w:sz w:val="24"/>
          <w:szCs w:val="24"/>
        </w:rPr>
      </w:pPr>
      <w:bookmarkStart w:id="51" w:name="_Hlk86487007"/>
      <w:bookmarkStart w:id="52" w:name="_Hlk87742436"/>
      <w:bookmarkStart w:id="53" w:name="_Toc88004919"/>
      <w:bookmarkStart w:id="54" w:name="_Toc132510954"/>
      <w:r>
        <w:rPr>
          <w:b/>
          <w:sz w:val="24"/>
          <w:szCs w:val="24"/>
        </w:rPr>
        <w:t xml:space="preserve">ALEGACIÓN </w:t>
      </w:r>
      <w:r w:rsidR="00CC3D20">
        <w:rPr>
          <w:b/>
          <w:sz w:val="24"/>
          <w:szCs w:val="24"/>
        </w:rPr>
        <w:t>1</w:t>
      </w:r>
      <w:r w:rsidR="00554BDF">
        <w:rPr>
          <w:b/>
          <w:sz w:val="24"/>
          <w:szCs w:val="24"/>
        </w:rPr>
        <w:t>8</w:t>
      </w:r>
      <w:r>
        <w:rPr>
          <w:b/>
          <w:sz w:val="24"/>
          <w:szCs w:val="24"/>
        </w:rPr>
        <w:t>.</w:t>
      </w:r>
      <w:r w:rsidR="00D46D97">
        <w:rPr>
          <w:b/>
          <w:sz w:val="24"/>
          <w:szCs w:val="24"/>
        </w:rPr>
        <w:t>-</w:t>
      </w:r>
      <w:r>
        <w:rPr>
          <w:b/>
          <w:sz w:val="24"/>
          <w:szCs w:val="24"/>
        </w:rPr>
        <w:t xml:space="preserve"> Vulneración das determinacións do planeamento urbanístico municipal dos concellos de </w:t>
      </w:r>
      <w:bookmarkEnd w:id="51"/>
      <w:r w:rsidR="00803852">
        <w:rPr>
          <w:b/>
          <w:sz w:val="24"/>
          <w:szCs w:val="24"/>
        </w:rPr>
        <w:t xml:space="preserve">Tomiño, </w:t>
      </w:r>
      <w:r w:rsidR="00FE118F">
        <w:rPr>
          <w:b/>
          <w:sz w:val="24"/>
          <w:szCs w:val="24"/>
        </w:rPr>
        <w:t xml:space="preserve">Baiona, </w:t>
      </w:r>
      <w:r>
        <w:rPr>
          <w:b/>
          <w:sz w:val="24"/>
          <w:szCs w:val="24"/>
        </w:rPr>
        <w:t>Oia</w:t>
      </w:r>
      <w:bookmarkEnd w:id="52"/>
      <w:bookmarkEnd w:id="53"/>
      <w:r w:rsidR="00FE118F">
        <w:rPr>
          <w:b/>
          <w:sz w:val="24"/>
          <w:szCs w:val="24"/>
        </w:rPr>
        <w:t>.</w:t>
      </w:r>
      <w:bookmarkEnd w:id="54"/>
    </w:p>
    <w:p w14:paraId="0AD16E24" w14:textId="64AFA677" w:rsidR="00803852" w:rsidRPr="00991F2C" w:rsidRDefault="00803852" w:rsidP="00C155D2">
      <w:pPr>
        <w:pStyle w:val="Ttulo2"/>
        <w:rPr>
          <w:rFonts w:asciiTheme="minorHAnsi" w:hAnsiTheme="minorHAnsi" w:cstheme="minorHAnsi"/>
          <w:color w:val="000000"/>
          <w:sz w:val="24"/>
          <w:szCs w:val="24"/>
          <w:lang w:eastAsia="es-ES"/>
        </w:rPr>
      </w:pPr>
      <w:bookmarkStart w:id="55" w:name="_Toc132510955"/>
      <w:bookmarkStart w:id="56" w:name="_Toc88004922"/>
      <w:bookmarkStart w:id="57" w:name="_Hlk86418725"/>
      <w:r w:rsidRPr="00991F2C">
        <w:rPr>
          <w:rFonts w:asciiTheme="minorHAnsi" w:hAnsiTheme="minorHAnsi" w:cstheme="minorHAnsi"/>
          <w:color w:val="000000"/>
          <w:sz w:val="24"/>
          <w:szCs w:val="24"/>
          <w:lang w:eastAsia="es-ES"/>
        </w:rPr>
        <w:t>PXOM do concello de Tomiño</w:t>
      </w:r>
      <w:bookmarkEnd w:id="55"/>
      <w:r w:rsidRPr="00991F2C">
        <w:rPr>
          <w:rFonts w:asciiTheme="minorHAnsi" w:hAnsiTheme="minorHAnsi" w:cstheme="minorHAnsi"/>
          <w:color w:val="000000"/>
          <w:sz w:val="24"/>
          <w:szCs w:val="24"/>
          <w:lang w:eastAsia="es-ES"/>
        </w:rPr>
        <w:t xml:space="preserve"> </w:t>
      </w:r>
    </w:p>
    <w:p w14:paraId="41921C9D" w14:textId="77777777" w:rsidR="00803852" w:rsidRPr="00991F2C" w:rsidRDefault="00803852" w:rsidP="00803852">
      <w:pPr>
        <w:autoSpaceDE w:val="0"/>
        <w:autoSpaceDN w:val="0"/>
        <w:adjustRightInd w:val="0"/>
        <w:spacing w:after="0" w:line="240" w:lineRule="auto"/>
        <w:rPr>
          <w:rFonts w:cs="Calibri"/>
          <w:b/>
          <w:color w:val="000000"/>
          <w:sz w:val="23"/>
          <w:szCs w:val="23"/>
          <w:lang w:eastAsia="es-ES"/>
        </w:rPr>
      </w:pPr>
    </w:p>
    <w:p w14:paraId="1F7B0CC2" w14:textId="77777777" w:rsidR="00803852" w:rsidRPr="00991F2C" w:rsidRDefault="00803852" w:rsidP="00803852">
      <w:pPr>
        <w:autoSpaceDE w:val="0"/>
        <w:autoSpaceDN w:val="0"/>
        <w:adjustRightInd w:val="0"/>
        <w:spacing w:after="0" w:line="240" w:lineRule="auto"/>
        <w:ind w:left="708"/>
        <w:jc w:val="both"/>
        <w:rPr>
          <w:rFonts w:cs="Calibri"/>
          <w:color w:val="000000"/>
          <w:sz w:val="23"/>
          <w:szCs w:val="23"/>
          <w:lang w:eastAsia="es-ES"/>
        </w:rPr>
      </w:pPr>
      <w:r w:rsidRPr="00991F2C">
        <w:rPr>
          <w:rFonts w:cs="Calibri"/>
          <w:color w:val="000000"/>
          <w:sz w:val="23"/>
          <w:szCs w:val="23"/>
          <w:lang w:eastAsia="es-ES"/>
        </w:rPr>
        <w:t xml:space="preserve">O concello de Tomiño aprobou o seu Plan Xeral de Ordenación Municipal (PXOM) o 29/03/2001. </w:t>
      </w:r>
    </w:p>
    <w:p w14:paraId="2F903BE1" w14:textId="77777777" w:rsidR="00803852" w:rsidRPr="00991F2C" w:rsidRDefault="00803852" w:rsidP="00803852">
      <w:pPr>
        <w:autoSpaceDE w:val="0"/>
        <w:autoSpaceDN w:val="0"/>
        <w:adjustRightInd w:val="0"/>
        <w:spacing w:after="0" w:line="240" w:lineRule="auto"/>
        <w:ind w:left="708"/>
        <w:jc w:val="both"/>
        <w:rPr>
          <w:rFonts w:cs="Calibri"/>
          <w:color w:val="000000"/>
          <w:sz w:val="23"/>
          <w:szCs w:val="23"/>
          <w:lang w:eastAsia="es-ES"/>
        </w:rPr>
      </w:pPr>
    </w:p>
    <w:p w14:paraId="4EA5325C" w14:textId="6D1CA212" w:rsidR="00803852" w:rsidRDefault="00803852" w:rsidP="00803852">
      <w:pPr>
        <w:autoSpaceDE w:val="0"/>
        <w:autoSpaceDN w:val="0"/>
        <w:adjustRightInd w:val="0"/>
        <w:spacing w:after="0" w:line="240" w:lineRule="auto"/>
        <w:ind w:left="708"/>
        <w:jc w:val="both"/>
        <w:rPr>
          <w:rFonts w:cs="Calibri"/>
          <w:color w:val="000000"/>
          <w:sz w:val="23"/>
          <w:szCs w:val="23"/>
          <w:lang w:eastAsia="es-ES"/>
        </w:rPr>
      </w:pPr>
      <w:r w:rsidRPr="00991F2C">
        <w:rPr>
          <w:rFonts w:cs="Calibri"/>
          <w:color w:val="000000"/>
          <w:sz w:val="23"/>
          <w:szCs w:val="23"/>
          <w:lang w:eastAsia="es-ES"/>
        </w:rPr>
        <w:t>A calificación do solo afectado polo PE Tor</w:t>
      </w:r>
      <w:r w:rsidR="00991F2C">
        <w:rPr>
          <w:rFonts w:cs="Calibri"/>
          <w:color w:val="000000"/>
          <w:sz w:val="23"/>
          <w:szCs w:val="23"/>
          <w:lang w:eastAsia="es-ES"/>
        </w:rPr>
        <w:t>r</w:t>
      </w:r>
      <w:r w:rsidRPr="00991F2C">
        <w:rPr>
          <w:rFonts w:cs="Calibri"/>
          <w:color w:val="000000"/>
          <w:sz w:val="23"/>
          <w:szCs w:val="23"/>
          <w:lang w:eastAsia="es-ES"/>
        </w:rPr>
        <w:t>oña</w:t>
      </w:r>
      <w:r w:rsidR="00991F2C">
        <w:rPr>
          <w:rFonts w:cs="Calibri"/>
          <w:color w:val="000000"/>
          <w:sz w:val="23"/>
          <w:szCs w:val="23"/>
          <w:lang w:eastAsia="es-ES"/>
        </w:rPr>
        <w:t xml:space="preserve"> I</w:t>
      </w:r>
      <w:r w:rsidRPr="00991F2C">
        <w:rPr>
          <w:rFonts w:cs="Calibri"/>
          <w:color w:val="000000"/>
          <w:sz w:val="23"/>
          <w:szCs w:val="23"/>
          <w:lang w:eastAsia="es-ES"/>
        </w:rPr>
        <w:t xml:space="preserve"> é de </w:t>
      </w:r>
      <w:r w:rsidRPr="00991F2C">
        <w:rPr>
          <w:rFonts w:cs="Calibri"/>
          <w:b/>
          <w:bCs/>
          <w:color w:val="000000"/>
          <w:sz w:val="23"/>
          <w:szCs w:val="23"/>
          <w:lang w:eastAsia="es-ES"/>
        </w:rPr>
        <w:t>solo rústico de protección ecolóxica</w:t>
      </w:r>
      <w:r w:rsidRPr="00991F2C">
        <w:rPr>
          <w:rFonts w:cs="Calibri"/>
          <w:color w:val="000000"/>
          <w:sz w:val="23"/>
          <w:szCs w:val="23"/>
          <w:lang w:eastAsia="es-ES"/>
        </w:rPr>
        <w:t xml:space="preserve">, o cal, </w:t>
      </w:r>
      <w:r w:rsidRPr="00991F2C">
        <w:rPr>
          <w:rFonts w:cs="Calibri"/>
          <w:i/>
          <w:iCs/>
          <w:color w:val="000000"/>
          <w:sz w:val="23"/>
          <w:szCs w:val="23"/>
          <w:lang w:eastAsia="es-ES"/>
        </w:rPr>
        <w:t>está constituído por aqueles terreos que polos seus valores ambientais, ecolóxicos, biolóxicos, botánicos, paisaxísticos, educativos ou recreativos deben preservarse para a súa protección ou mellora e que se delimitan nos planos de ordenación… No ámbito</w:t>
      </w:r>
      <w:r w:rsidRPr="00803852">
        <w:rPr>
          <w:rFonts w:cs="Calibri"/>
          <w:i/>
          <w:iCs/>
          <w:color w:val="000000"/>
          <w:sz w:val="23"/>
          <w:szCs w:val="23"/>
          <w:lang w:eastAsia="es-ES"/>
        </w:rPr>
        <w:t xml:space="preserve"> de aplicación desta norma non se autorizará a construción de ninguna clase de edificación, permitíndose a explotación racional dos recursos vinculados ó medio que non atente contra os valores esenciais que se protexen</w:t>
      </w:r>
      <w:r w:rsidRPr="00803852">
        <w:rPr>
          <w:rFonts w:cs="Calibri"/>
          <w:color w:val="000000"/>
          <w:sz w:val="23"/>
          <w:szCs w:val="23"/>
          <w:lang w:eastAsia="es-ES"/>
        </w:rPr>
        <w:t xml:space="preserve">. </w:t>
      </w:r>
    </w:p>
    <w:p w14:paraId="4B55ECDF" w14:textId="77777777" w:rsidR="00803852" w:rsidRPr="00803852" w:rsidRDefault="00803852" w:rsidP="00803852">
      <w:pPr>
        <w:autoSpaceDE w:val="0"/>
        <w:autoSpaceDN w:val="0"/>
        <w:adjustRightInd w:val="0"/>
        <w:spacing w:after="0" w:line="240" w:lineRule="auto"/>
        <w:ind w:left="708"/>
        <w:jc w:val="both"/>
        <w:rPr>
          <w:rFonts w:cs="Calibri"/>
          <w:color w:val="000000"/>
          <w:sz w:val="23"/>
          <w:szCs w:val="23"/>
          <w:lang w:eastAsia="es-ES"/>
        </w:rPr>
      </w:pPr>
    </w:p>
    <w:p w14:paraId="3289E2FE" w14:textId="61FEEE3D" w:rsidR="00803852" w:rsidRDefault="00803852" w:rsidP="00803852">
      <w:pPr>
        <w:autoSpaceDE w:val="0"/>
        <w:autoSpaceDN w:val="0"/>
        <w:adjustRightInd w:val="0"/>
        <w:spacing w:after="0" w:line="240" w:lineRule="auto"/>
        <w:ind w:left="708"/>
        <w:jc w:val="both"/>
        <w:rPr>
          <w:rFonts w:cs="Calibri"/>
          <w:color w:val="000000"/>
          <w:sz w:val="23"/>
          <w:szCs w:val="23"/>
          <w:lang w:eastAsia="es-ES"/>
        </w:rPr>
      </w:pPr>
      <w:r w:rsidRPr="00803852">
        <w:rPr>
          <w:rFonts w:cs="Calibri"/>
          <w:color w:val="000000"/>
          <w:sz w:val="23"/>
          <w:szCs w:val="23"/>
          <w:lang w:eastAsia="es-ES"/>
        </w:rPr>
        <w:lastRenderedPageBreak/>
        <w:t xml:space="preserve">Tal e como establece o Proxecto Sectorial do PE </w:t>
      </w:r>
      <w:r>
        <w:rPr>
          <w:rFonts w:cs="Calibri"/>
          <w:color w:val="000000"/>
          <w:sz w:val="23"/>
          <w:szCs w:val="23"/>
          <w:lang w:eastAsia="es-ES"/>
        </w:rPr>
        <w:t>To</w:t>
      </w:r>
      <w:r w:rsidR="00991F2C">
        <w:rPr>
          <w:rFonts w:cs="Calibri"/>
          <w:color w:val="000000"/>
          <w:sz w:val="23"/>
          <w:szCs w:val="23"/>
          <w:lang w:eastAsia="es-ES"/>
        </w:rPr>
        <w:t>r</w:t>
      </w:r>
      <w:r>
        <w:rPr>
          <w:rFonts w:cs="Calibri"/>
          <w:color w:val="000000"/>
          <w:sz w:val="23"/>
          <w:szCs w:val="23"/>
          <w:lang w:eastAsia="es-ES"/>
        </w:rPr>
        <w:t>roña</w:t>
      </w:r>
      <w:r w:rsidR="00991F2C">
        <w:rPr>
          <w:rFonts w:cs="Calibri"/>
          <w:color w:val="000000"/>
          <w:sz w:val="23"/>
          <w:szCs w:val="23"/>
          <w:lang w:eastAsia="es-ES"/>
        </w:rPr>
        <w:t xml:space="preserve"> I</w:t>
      </w:r>
      <w:r w:rsidRPr="00803852">
        <w:rPr>
          <w:rFonts w:cs="Calibri"/>
          <w:color w:val="000000"/>
          <w:sz w:val="23"/>
          <w:szCs w:val="23"/>
          <w:lang w:eastAsia="es-ES"/>
        </w:rPr>
        <w:t xml:space="preserve">, os terreos afectados deben recalificarse como </w:t>
      </w:r>
      <w:r w:rsidRPr="00991F2C">
        <w:rPr>
          <w:rFonts w:cs="Calibri"/>
          <w:b/>
          <w:i/>
          <w:color w:val="000000"/>
          <w:sz w:val="23"/>
          <w:szCs w:val="23"/>
          <w:lang w:eastAsia="es-ES"/>
        </w:rPr>
        <w:t>solo rústico de protección de infraestruturas</w:t>
      </w:r>
      <w:r w:rsidRPr="00803852">
        <w:rPr>
          <w:rFonts w:cs="Calibri"/>
          <w:color w:val="000000"/>
          <w:sz w:val="23"/>
          <w:szCs w:val="23"/>
          <w:lang w:eastAsia="es-ES"/>
        </w:rPr>
        <w:t xml:space="preserve">, perdendo así os valores esenciais que determinaron a súa protección no PXOM. </w:t>
      </w:r>
    </w:p>
    <w:p w14:paraId="3A6D0173" w14:textId="77777777" w:rsidR="00803852" w:rsidRPr="00803852" w:rsidRDefault="00803852" w:rsidP="00803852">
      <w:pPr>
        <w:autoSpaceDE w:val="0"/>
        <w:autoSpaceDN w:val="0"/>
        <w:adjustRightInd w:val="0"/>
        <w:spacing w:after="0" w:line="240" w:lineRule="auto"/>
        <w:ind w:left="708"/>
        <w:jc w:val="both"/>
        <w:rPr>
          <w:rFonts w:cs="Calibri"/>
          <w:color w:val="000000"/>
          <w:sz w:val="23"/>
          <w:szCs w:val="23"/>
          <w:lang w:eastAsia="es-ES"/>
        </w:rPr>
      </w:pPr>
    </w:p>
    <w:p w14:paraId="6ED5EF81" w14:textId="02DD7BD6" w:rsidR="00803852" w:rsidRDefault="00803852" w:rsidP="00803852">
      <w:pPr>
        <w:autoSpaceDE w:val="0"/>
        <w:autoSpaceDN w:val="0"/>
        <w:adjustRightInd w:val="0"/>
        <w:spacing w:after="0" w:line="240" w:lineRule="auto"/>
        <w:ind w:left="708"/>
        <w:jc w:val="both"/>
        <w:rPr>
          <w:rFonts w:cs="Calibri"/>
          <w:color w:val="000000"/>
          <w:sz w:val="23"/>
          <w:szCs w:val="23"/>
          <w:lang w:eastAsia="es-ES"/>
        </w:rPr>
      </w:pPr>
      <w:r w:rsidRPr="00803852">
        <w:rPr>
          <w:rFonts w:cs="Calibri"/>
          <w:color w:val="000000"/>
          <w:sz w:val="23"/>
          <w:szCs w:val="23"/>
          <w:lang w:eastAsia="es-ES"/>
        </w:rPr>
        <w:t>Como é ben sabido a aprobación do PXOM debe, entre o</w:t>
      </w:r>
      <w:r>
        <w:rPr>
          <w:rFonts w:cs="Calibri"/>
          <w:color w:val="000000"/>
          <w:sz w:val="23"/>
          <w:szCs w:val="23"/>
          <w:lang w:eastAsia="es-ES"/>
        </w:rPr>
        <w:t>u</w:t>
      </w:r>
      <w:r w:rsidRPr="00803852">
        <w:rPr>
          <w:rFonts w:cs="Calibri"/>
          <w:color w:val="000000"/>
          <w:sz w:val="23"/>
          <w:szCs w:val="23"/>
          <w:lang w:eastAsia="es-ES"/>
        </w:rPr>
        <w:t xml:space="preserve">tras cousas, demostrar a súa viabilidade en termos de sostibilidade medioambiental tal e como debe recollerse na súa tramitación ambiental. </w:t>
      </w:r>
    </w:p>
    <w:p w14:paraId="05E4792B" w14:textId="77777777" w:rsidR="00803852" w:rsidRPr="00803852" w:rsidRDefault="00803852" w:rsidP="00803852">
      <w:pPr>
        <w:autoSpaceDE w:val="0"/>
        <w:autoSpaceDN w:val="0"/>
        <w:adjustRightInd w:val="0"/>
        <w:spacing w:after="0" w:line="240" w:lineRule="auto"/>
        <w:ind w:left="708"/>
        <w:jc w:val="both"/>
        <w:rPr>
          <w:rFonts w:cs="Calibri"/>
          <w:color w:val="000000"/>
          <w:sz w:val="23"/>
          <w:szCs w:val="23"/>
          <w:lang w:eastAsia="es-ES"/>
        </w:rPr>
      </w:pPr>
    </w:p>
    <w:p w14:paraId="205221C6" w14:textId="5B0CA0D2" w:rsidR="00803852" w:rsidRDefault="00803852" w:rsidP="00803852">
      <w:pPr>
        <w:autoSpaceDE w:val="0"/>
        <w:autoSpaceDN w:val="0"/>
        <w:adjustRightInd w:val="0"/>
        <w:spacing w:after="0" w:line="240" w:lineRule="auto"/>
        <w:ind w:left="708"/>
        <w:jc w:val="both"/>
        <w:rPr>
          <w:rFonts w:cs="Calibri"/>
          <w:color w:val="000000"/>
          <w:sz w:val="23"/>
          <w:szCs w:val="23"/>
          <w:lang w:eastAsia="es-ES"/>
        </w:rPr>
      </w:pPr>
      <w:r w:rsidRPr="00803852">
        <w:rPr>
          <w:rFonts w:cs="Calibri"/>
          <w:color w:val="000000"/>
          <w:sz w:val="23"/>
          <w:szCs w:val="23"/>
          <w:lang w:eastAsia="es-ES"/>
        </w:rPr>
        <w:t xml:space="preserve">A recalificación dos terreos afectados polo PE </w:t>
      </w:r>
      <w:r>
        <w:rPr>
          <w:rFonts w:cs="Calibri"/>
          <w:color w:val="000000"/>
          <w:sz w:val="23"/>
          <w:szCs w:val="23"/>
          <w:lang w:eastAsia="es-ES"/>
        </w:rPr>
        <w:t>To</w:t>
      </w:r>
      <w:r w:rsidR="00991F2C">
        <w:rPr>
          <w:rFonts w:cs="Calibri"/>
          <w:color w:val="000000"/>
          <w:sz w:val="23"/>
          <w:szCs w:val="23"/>
          <w:lang w:eastAsia="es-ES"/>
        </w:rPr>
        <w:t>r</w:t>
      </w:r>
      <w:r>
        <w:rPr>
          <w:rFonts w:cs="Calibri"/>
          <w:color w:val="000000"/>
          <w:sz w:val="23"/>
          <w:szCs w:val="23"/>
          <w:lang w:eastAsia="es-ES"/>
        </w:rPr>
        <w:t>roña</w:t>
      </w:r>
      <w:r w:rsidR="00991F2C">
        <w:rPr>
          <w:rFonts w:cs="Calibri"/>
          <w:color w:val="000000"/>
          <w:sz w:val="23"/>
          <w:szCs w:val="23"/>
          <w:lang w:eastAsia="es-ES"/>
        </w:rPr>
        <w:t xml:space="preserve"> I</w:t>
      </w:r>
      <w:r w:rsidRPr="00803852">
        <w:rPr>
          <w:rFonts w:cs="Calibri"/>
          <w:color w:val="000000"/>
          <w:sz w:val="23"/>
          <w:szCs w:val="23"/>
          <w:lang w:eastAsia="es-ES"/>
        </w:rPr>
        <w:t xml:space="preserve"> non só supón a perda dos esenciais valores que protexe o PXOM senon que menoscaba os criterios básicos de sostibilidade medioambiental, invalidando así, de facto, a propia viabilidade do PXOM o que deb</w:t>
      </w:r>
      <w:r w:rsidR="00FE118F">
        <w:rPr>
          <w:rFonts w:cs="Calibri"/>
          <w:color w:val="000000"/>
          <w:sz w:val="23"/>
          <w:szCs w:val="23"/>
          <w:lang w:eastAsia="es-ES"/>
        </w:rPr>
        <w:t>e</w:t>
      </w:r>
      <w:r w:rsidRPr="00803852">
        <w:rPr>
          <w:rFonts w:cs="Calibri"/>
          <w:color w:val="000000"/>
          <w:sz w:val="23"/>
          <w:szCs w:val="23"/>
          <w:lang w:eastAsia="es-ES"/>
        </w:rPr>
        <w:t xml:space="preserve">ría obrigar a unha nova avaliación ambiental estratéxica do PXOM do concello de Tomiño. </w:t>
      </w:r>
    </w:p>
    <w:p w14:paraId="648765A1" w14:textId="77777777" w:rsidR="00FE118F" w:rsidRPr="00803852" w:rsidRDefault="00FE118F" w:rsidP="00803852">
      <w:pPr>
        <w:autoSpaceDE w:val="0"/>
        <w:autoSpaceDN w:val="0"/>
        <w:adjustRightInd w:val="0"/>
        <w:spacing w:after="0" w:line="240" w:lineRule="auto"/>
        <w:ind w:left="708"/>
        <w:jc w:val="both"/>
        <w:rPr>
          <w:rFonts w:cs="Calibri"/>
          <w:color w:val="000000"/>
          <w:sz w:val="23"/>
          <w:szCs w:val="23"/>
          <w:lang w:eastAsia="es-ES"/>
        </w:rPr>
      </w:pPr>
    </w:p>
    <w:p w14:paraId="09E670CA" w14:textId="00990082" w:rsidR="00803852" w:rsidRPr="00991F2C" w:rsidRDefault="00803852" w:rsidP="00C155D2">
      <w:pPr>
        <w:pStyle w:val="Ttulo2"/>
        <w:rPr>
          <w:rFonts w:asciiTheme="minorHAnsi" w:hAnsiTheme="minorHAnsi" w:cstheme="minorHAnsi"/>
          <w:color w:val="000000"/>
          <w:sz w:val="24"/>
          <w:szCs w:val="24"/>
          <w:lang w:eastAsia="es-ES"/>
        </w:rPr>
      </w:pPr>
      <w:bookmarkStart w:id="58" w:name="_Toc132510956"/>
      <w:r w:rsidRPr="00991F2C">
        <w:rPr>
          <w:rFonts w:asciiTheme="minorHAnsi" w:hAnsiTheme="minorHAnsi" w:cstheme="minorHAnsi"/>
          <w:color w:val="000000"/>
          <w:sz w:val="24"/>
          <w:szCs w:val="24"/>
          <w:lang w:eastAsia="es-ES"/>
        </w:rPr>
        <w:t>PXOM do concello de Baiona</w:t>
      </w:r>
      <w:bookmarkEnd w:id="58"/>
      <w:r w:rsidRPr="00991F2C">
        <w:rPr>
          <w:rFonts w:asciiTheme="minorHAnsi" w:hAnsiTheme="minorHAnsi" w:cstheme="minorHAnsi"/>
          <w:color w:val="000000"/>
          <w:sz w:val="24"/>
          <w:szCs w:val="24"/>
          <w:lang w:eastAsia="es-ES"/>
        </w:rPr>
        <w:t xml:space="preserve"> </w:t>
      </w:r>
    </w:p>
    <w:p w14:paraId="4460B48E" w14:textId="77777777" w:rsidR="00FE118F" w:rsidRPr="00991F2C" w:rsidRDefault="00FE118F" w:rsidP="00803852">
      <w:pPr>
        <w:autoSpaceDE w:val="0"/>
        <w:autoSpaceDN w:val="0"/>
        <w:adjustRightInd w:val="0"/>
        <w:spacing w:after="0" w:line="240" w:lineRule="auto"/>
        <w:rPr>
          <w:rFonts w:cs="Calibri"/>
          <w:b/>
          <w:color w:val="000000"/>
          <w:sz w:val="23"/>
          <w:szCs w:val="23"/>
          <w:lang w:eastAsia="es-ES"/>
        </w:rPr>
      </w:pPr>
    </w:p>
    <w:p w14:paraId="6881B046" w14:textId="77777777" w:rsidR="00803852" w:rsidRPr="00991F2C" w:rsidRDefault="00803852" w:rsidP="00FE118F">
      <w:pPr>
        <w:autoSpaceDE w:val="0"/>
        <w:autoSpaceDN w:val="0"/>
        <w:adjustRightInd w:val="0"/>
        <w:spacing w:after="0" w:line="240" w:lineRule="auto"/>
        <w:ind w:left="708"/>
        <w:rPr>
          <w:rFonts w:cs="Calibri"/>
          <w:color w:val="000000"/>
          <w:sz w:val="23"/>
          <w:szCs w:val="23"/>
          <w:lang w:eastAsia="es-ES"/>
        </w:rPr>
      </w:pPr>
      <w:r w:rsidRPr="00991F2C">
        <w:rPr>
          <w:rFonts w:cs="Calibri"/>
          <w:color w:val="000000"/>
          <w:sz w:val="23"/>
          <w:szCs w:val="23"/>
          <w:lang w:eastAsia="es-ES"/>
        </w:rPr>
        <w:t xml:space="preserve">O concello de Baiona aprobou o PXOM o 04/06/2014. </w:t>
      </w:r>
    </w:p>
    <w:p w14:paraId="4CFB86E3" w14:textId="77777777" w:rsidR="00FE118F" w:rsidRPr="00991F2C" w:rsidRDefault="00FE118F" w:rsidP="00FE118F">
      <w:pPr>
        <w:autoSpaceDE w:val="0"/>
        <w:autoSpaceDN w:val="0"/>
        <w:adjustRightInd w:val="0"/>
        <w:spacing w:after="0" w:line="240" w:lineRule="auto"/>
        <w:ind w:left="708"/>
        <w:rPr>
          <w:rFonts w:cs="Calibri"/>
          <w:color w:val="000000"/>
          <w:sz w:val="23"/>
          <w:szCs w:val="23"/>
          <w:lang w:eastAsia="es-ES"/>
        </w:rPr>
      </w:pPr>
    </w:p>
    <w:p w14:paraId="525464CA" w14:textId="2F091B83" w:rsidR="00803852" w:rsidRPr="00991F2C" w:rsidRDefault="00803852" w:rsidP="00FE118F">
      <w:pPr>
        <w:autoSpaceDE w:val="0"/>
        <w:autoSpaceDN w:val="0"/>
        <w:adjustRightInd w:val="0"/>
        <w:spacing w:after="0" w:line="240" w:lineRule="auto"/>
        <w:ind w:left="708"/>
        <w:jc w:val="both"/>
        <w:rPr>
          <w:rFonts w:cs="Calibri"/>
          <w:color w:val="000000"/>
          <w:sz w:val="23"/>
          <w:szCs w:val="23"/>
          <w:lang w:eastAsia="es-ES"/>
        </w:rPr>
      </w:pPr>
      <w:r w:rsidRPr="00991F2C">
        <w:rPr>
          <w:rFonts w:cs="Calibri"/>
          <w:color w:val="000000"/>
          <w:sz w:val="23"/>
          <w:szCs w:val="23"/>
          <w:lang w:eastAsia="es-ES"/>
        </w:rPr>
        <w:t xml:space="preserve">Os solos afectados polo PE </w:t>
      </w:r>
      <w:r w:rsidR="00FE118F" w:rsidRPr="00991F2C">
        <w:rPr>
          <w:rFonts w:cs="Calibri"/>
          <w:color w:val="000000"/>
          <w:sz w:val="23"/>
          <w:szCs w:val="23"/>
          <w:lang w:eastAsia="es-ES"/>
        </w:rPr>
        <w:t>To</w:t>
      </w:r>
      <w:r w:rsidR="00E34F33">
        <w:rPr>
          <w:rFonts w:cs="Calibri"/>
          <w:color w:val="000000"/>
          <w:sz w:val="23"/>
          <w:szCs w:val="23"/>
          <w:lang w:eastAsia="es-ES"/>
        </w:rPr>
        <w:t>r</w:t>
      </w:r>
      <w:r w:rsidR="00FE118F" w:rsidRPr="00991F2C">
        <w:rPr>
          <w:rFonts w:cs="Calibri"/>
          <w:color w:val="000000"/>
          <w:sz w:val="23"/>
          <w:szCs w:val="23"/>
          <w:lang w:eastAsia="es-ES"/>
        </w:rPr>
        <w:t>roña I</w:t>
      </w:r>
      <w:r w:rsidRPr="00991F2C">
        <w:rPr>
          <w:rFonts w:cs="Calibri"/>
          <w:color w:val="000000"/>
          <w:sz w:val="23"/>
          <w:szCs w:val="23"/>
          <w:lang w:eastAsia="es-ES"/>
        </w:rPr>
        <w:t xml:space="preserve"> calificanse como </w:t>
      </w:r>
      <w:r w:rsidRPr="003D57E3">
        <w:rPr>
          <w:rFonts w:cs="Calibri"/>
          <w:b/>
          <w:bCs/>
          <w:color w:val="000000"/>
          <w:sz w:val="23"/>
          <w:szCs w:val="23"/>
          <w:lang w:eastAsia="es-ES"/>
        </w:rPr>
        <w:t>solos rústicos de protección de espazos naturais</w:t>
      </w:r>
      <w:r w:rsidRPr="003D57E3">
        <w:rPr>
          <w:rFonts w:cs="Calibri"/>
          <w:color w:val="000000"/>
          <w:sz w:val="23"/>
          <w:szCs w:val="23"/>
          <w:lang w:eastAsia="es-ES"/>
        </w:rPr>
        <w:t xml:space="preserve">, </w:t>
      </w:r>
      <w:r w:rsidRPr="003D57E3">
        <w:rPr>
          <w:rFonts w:cs="Calibri"/>
          <w:b/>
          <w:bCs/>
          <w:color w:val="000000"/>
          <w:sz w:val="23"/>
          <w:szCs w:val="23"/>
          <w:lang w:eastAsia="es-ES"/>
        </w:rPr>
        <w:t xml:space="preserve">solos rústicos de protección das augas </w:t>
      </w:r>
      <w:r w:rsidRPr="003D57E3">
        <w:rPr>
          <w:rFonts w:cs="Calibri"/>
          <w:color w:val="000000"/>
          <w:sz w:val="23"/>
          <w:szCs w:val="23"/>
          <w:lang w:eastAsia="es-ES"/>
        </w:rPr>
        <w:t xml:space="preserve">e </w:t>
      </w:r>
      <w:r w:rsidRPr="003D57E3">
        <w:rPr>
          <w:rFonts w:cs="Calibri"/>
          <w:b/>
          <w:bCs/>
          <w:color w:val="000000"/>
          <w:sz w:val="23"/>
          <w:szCs w:val="23"/>
          <w:lang w:eastAsia="es-ES"/>
        </w:rPr>
        <w:t>solos rústicos de protección patrimonial</w:t>
      </w:r>
      <w:r w:rsidRPr="003D57E3">
        <w:rPr>
          <w:rFonts w:cs="Calibri"/>
          <w:color w:val="000000"/>
          <w:sz w:val="23"/>
          <w:szCs w:val="23"/>
          <w:lang w:eastAsia="es-ES"/>
        </w:rPr>
        <w:t>.</w:t>
      </w:r>
      <w:r w:rsidRPr="00991F2C">
        <w:rPr>
          <w:rFonts w:cs="Calibri"/>
          <w:color w:val="000000"/>
          <w:sz w:val="23"/>
          <w:szCs w:val="23"/>
          <w:lang w:eastAsia="es-ES"/>
        </w:rPr>
        <w:t xml:space="preserve"> A afección nestes tipos de solos supón a perda dos valores que se ten por obxecto protexer. </w:t>
      </w:r>
    </w:p>
    <w:p w14:paraId="4374FFD0" w14:textId="77777777" w:rsidR="00FE118F" w:rsidRPr="00991F2C" w:rsidRDefault="00FE118F" w:rsidP="00FE118F">
      <w:pPr>
        <w:autoSpaceDE w:val="0"/>
        <w:autoSpaceDN w:val="0"/>
        <w:adjustRightInd w:val="0"/>
        <w:spacing w:after="0" w:line="240" w:lineRule="auto"/>
        <w:ind w:left="708"/>
        <w:jc w:val="both"/>
        <w:rPr>
          <w:rFonts w:cs="Calibri"/>
          <w:color w:val="000000"/>
          <w:sz w:val="23"/>
          <w:szCs w:val="23"/>
          <w:lang w:eastAsia="es-ES"/>
        </w:rPr>
      </w:pPr>
    </w:p>
    <w:p w14:paraId="0AAB80CA" w14:textId="77777777" w:rsidR="00803852" w:rsidRDefault="00803852" w:rsidP="00FE118F">
      <w:pPr>
        <w:autoSpaceDE w:val="0"/>
        <w:autoSpaceDN w:val="0"/>
        <w:adjustRightInd w:val="0"/>
        <w:spacing w:after="0" w:line="240" w:lineRule="auto"/>
        <w:ind w:left="708"/>
        <w:jc w:val="both"/>
        <w:rPr>
          <w:rFonts w:cs="Calibri"/>
          <w:color w:val="000000"/>
          <w:sz w:val="23"/>
          <w:szCs w:val="23"/>
          <w:lang w:eastAsia="es-ES"/>
        </w:rPr>
      </w:pPr>
      <w:r w:rsidRPr="00991F2C">
        <w:rPr>
          <w:rFonts w:cs="Calibri"/>
          <w:color w:val="000000"/>
          <w:sz w:val="23"/>
          <w:szCs w:val="23"/>
          <w:lang w:eastAsia="es-ES"/>
        </w:rPr>
        <w:t>A Lei 9/2006 que transpón ó ordenamento xurídico español a Directiva 2001/42/CE do Parlamento Europeo e do Consello relativa á Avaliación Ambiental Estratéxica de plans e programas (AAE), que</w:t>
      </w:r>
      <w:r w:rsidRPr="00803852">
        <w:rPr>
          <w:rFonts w:cs="Calibri"/>
          <w:color w:val="000000"/>
          <w:sz w:val="23"/>
          <w:szCs w:val="23"/>
          <w:lang w:eastAsia="es-ES"/>
        </w:rPr>
        <w:t xml:space="preserve"> ten o obxectivo de converterse nun instrumento de prevención, integrando os aspectos ambientais na toma de decisións de plans e programas que poidan influir no medio ambiente, só pode levarse a cabo se a AAE se efectúa en paralelo á propia elaboración do plan ou programa. </w:t>
      </w:r>
    </w:p>
    <w:p w14:paraId="7A86ACBE" w14:textId="77777777" w:rsidR="00FE118F" w:rsidRPr="00803852" w:rsidRDefault="00FE118F" w:rsidP="00FE118F">
      <w:pPr>
        <w:autoSpaceDE w:val="0"/>
        <w:autoSpaceDN w:val="0"/>
        <w:adjustRightInd w:val="0"/>
        <w:spacing w:after="0" w:line="240" w:lineRule="auto"/>
        <w:ind w:left="708"/>
        <w:jc w:val="both"/>
        <w:rPr>
          <w:rFonts w:cs="Calibri"/>
          <w:color w:val="000000"/>
          <w:sz w:val="23"/>
          <w:szCs w:val="23"/>
          <w:lang w:eastAsia="es-ES"/>
        </w:rPr>
      </w:pPr>
    </w:p>
    <w:p w14:paraId="542357C2" w14:textId="72247B29" w:rsidR="00803852" w:rsidRDefault="00803852" w:rsidP="00FE118F">
      <w:pPr>
        <w:autoSpaceDE w:val="0"/>
        <w:autoSpaceDN w:val="0"/>
        <w:adjustRightInd w:val="0"/>
        <w:spacing w:after="0" w:line="240" w:lineRule="auto"/>
        <w:ind w:left="708"/>
        <w:jc w:val="both"/>
        <w:rPr>
          <w:rFonts w:cs="Calibri"/>
          <w:b/>
          <w:color w:val="000000"/>
          <w:sz w:val="24"/>
          <w:szCs w:val="24"/>
        </w:rPr>
      </w:pPr>
      <w:r w:rsidRPr="00803852">
        <w:rPr>
          <w:rFonts w:cs="Calibri"/>
          <w:color w:val="000000"/>
          <w:sz w:val="23"/>
          <w:szCs w:val="23"/>
          <w:lang w:eastAsia="es-ES"/>
        </w:rPr>
        <w:t xml:space="preserve">A recalificación dos solos afectados como solos rústicos de protección de infraestruturas non só supoñen a perda dos valores esenciais que protexe o PXOM senon que incumpren as determinacións contidas na Lei 9/2006, invalidando así a propia AAE do PXOM do concello de Baiona e </w:t>
      </w:r>
      <w:r w:rsidRPr="00803852">
        <w:rPr>
          <w:rFonts w:cs="Calibri"/>
          <w:sz w:val="23"/>
          <w:szCs w:val="23"/>
          <w:lang w:eastAsia="es-ES"/>
        </w:rPr>
        <w:t>comprometendo a propia viabilidade ambiental do PXOM, obrigando así á súa revisión.</w:t>
      </w:r>
    </w:p>
    <w:p w14:paraId="6AEA8F68" w14:textId="77777777" w:rsidR="00803852" w:rsidRDefault="00803852" w:rsidP="00BC0247">
      <w:pPr>
        <w:rPr>
          <w:rFonts w:cs="Calibri"/>
          <w:b/>
          <w:color w:val="000000"/>
          <w:sz w:val="24"/>
          <w:szCs w:val="24"/>
        </w:rPr>
      </w:pPr>
    </w:p>
    <w:p w14:paraId="678BA80B" w14:textId="2CC77A75" w:rsidR="00BC0247" w:rsidRPr="00C155D2" w:rsidRDefault="00BC0247" w:rsidP="00C155D2">
      <w:pPr>
        <w:pStyle w:val="Ttulo2"/>
        <w:rPr>
          <w:rFonts w:asciiTheme="minorHAnsi" w:hAnsiTheme="minorHAnsi" w:cstheme="minorHAnsi"/>
          <w:color w:val="000000"/>
          <w:sz w:val="24"/>
          <w:szCs w:val="24"/>
        </w:rPr>
      </w:pPr>
      <w:bookmarkStart w:id="59" w:name="_Toc132510957"/>
      <w:r w:rsidRPr="00C155D2">
        <w:rPr>
          <w:rFonts w:asciiTheme="minorHAnsi" w:hAnsiTheme="minorHAnsi" w:cstheme="minorHAnsi"/>
          <w:i/>
          <w:iCs/>
          <w:color w:val="000000"/>
          <w:sz w:val="24"/>
          <w:szCs w:val="24"/>
        </w:rPr>
        <w:t>NN.SS. do concello de Oia</w:t>
      </w:r>
      <w:bookmarkEnd w:id="56"/>
      <w:bookmarkEnd w:id="59"/>
    </w:p>
    <w:bookmarkEnd w:id="57"/>
    <w:p w14:paraId="73BA9A31" w14:textId="77777777" w:rsidR="00BC0247" w:rsidRDefault="00BC0247" w:rsidP="00BC0247">
      <w:pPr>
        <w:pStyle w:val="Prrafodelista"/>
        <w:spacing w:before="120"/>
        <w:ind w:left="709"/>
        <w:jc w:val="both"/>
        <w:rPr>
          <w:sz w:val="24"/>
          <w:szCs w:val="24"/>
        </w:rPr>
      </w:pPr>
      <w:r>
        <w:rPr>
          <w:sz w:val="24"/>
          <w:szCs w:val="24"/>
        </w:rPr>
        <w:t>O planeamento urbanístico do concello de Oia réxese polas Normas Subsidiarias (NN.SS.) aprobadas o 14/03/1996. Na actualidade o concello de Oia está no proceso de elaboración do PXOM.</w:t>
      </w:r>
    </w:p>
    <w:p w14:paraId="58BA2EBA" w14:textId="77777777" w:rsidR="00BC0247" w:rsidRDefault="00BC0247" w:rsidP="00BC0247">
      <w:pPr>
        <w:autoSpaceDE w:val="0"/>
        <w:autoSpaceDN w:val="0"/>
        <w:adjustRightInd w:val="0"/>
        <w:spacing w:before="120" w:after="0"/>
        <w:ind w:left="1077" w:right="1287"/>
        <w:jc w:val="both"/>
        <w:rPr>
          <w:i/>
          <w:lang w:eastAsia="es-ES"/>
        </w:rPr>
      </w:pPr>
      <w:r>
        <w:t xml:space="preserve"> </w:t>
      </w:r>
      <w:r>
        <w:rPr>
          <w:i/>
          <w:lang w:eastAsia="es-ES"/>
        </w:rPr>
        <w:t>1.2.4 Patrimonio forestal</w:t>
      </w:r>
    </w:p>
    <w:p w14:paraId="799F892E"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Este epígrafe hace referencia a los montes vecinales en mano común, cuyo uso debe ser orientado de forma clara hacia su conservación, ordenación, producción forestal, ganadería libre y hacia el fomento de los espacios y actividades recreativas; uso este último para el que esta zona parece especialmente dotada en función de su situación y cualidades orográficas y paisajísticas.</w:t>
      </w:r>
    </w:p>
    <w:p w14:paraId="785EB453" w14:textId="77777777" w:rsidR="00BC0247" w:rsidRDefault="00BC0247" w:rsidP="00BC0247">
      <w:pPr>
        <w:autoSpaceDE w:val="0"/>
        <w:autoSpaceDN w:val="0"/>
        <w:adjustRightInd w:val="0"/>
        <w:spacing w:before="120" w:after="0" w:line="240" w:lineRule="auto"/>
        <w:ind w:left="1077" w:right="1287"/>
        <w:jc w:val="both"/>
        <w:rPr>
          <w:i/>
          <w:lang w:eastAsia="es-ES"/>
        </w:rPr>
      </w:pPr>
      <w:r>
        <w:rPr>
          <w:i/>
          <w:lang w:eastAsia="es-ES"/>
        </w:rPr>
        <w:t>2.1.1.3 Espacios de Interés Paisajístico</w:t>
      </w:r>
    </w:p>
    <w:p w14:paraId="6438D5B4"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lastRenderedPageBreak/>
        <w:t>…las estribaciones septentrionales de la Sierra do Argallo, espacio en el por su situación, residen interesantes valores paisajísticos, además de socioculturales, educativos y recreativos</w:t>
      </w:r>
    </w:p>
    <w:p w14:paraId="736B367A" w14:textId="77777777" w:rsidR="00BC0247" w:rsidRDefault="00BC0247" w:rsidP="00BC0247">
      <w:pPr>
        <w:autoSpaceDE w:val="0"/>
        <w:autoSpaceDN w:val="0"/>
        <w:adjustRightInd w:val="0"/>
        <w:spacing w:before="120" w:after="0" w:line="240" w:lineRule="auto"/>
        <w:ind w:left="1077" w:right="1287"/>
        <w:jc w:val="both"/>
        <w:rPr>
          <w:i/>
          <w:lang w:eastAsia="es-ES"/>
        </w:rPr>
      </w:pPr>
      <w:r>
        <w:rPr>
          <w:i/>
          <w:lang w:eastAsia="es-ES"/>
        </w:rPr>
        <w:t>2.6.1 Abastecimiento de Agua</w:t>
      </w:r>
    </w:p>
    <w:p w14:paraId="7315C939"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El abastecimiento de los distintos núcleos se realiza mediante un sistema de distribución de propiedad vecinal y aquellas edificaciones en diseminado que no poseen acometida, se surten mediante pozos particulares</w:t>
      </w:r>
    </w:p>
    <w:p w14:paraId="25D586EB"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Asimismo, los vecinos de algunos núcleos como Serrallo, Campo Burgueira, Torroña, Acevedo, Loureza, Refoxos y As Mariñas, poseen abastecimiento autónomo.</w:t>
      </w:r>
    </w:p>
    <w:p w14:paraId="0BA5BEEA" w14:textId="77777777" w:rsidR="00BC0247" w:rsidRDefault="00BC0247" w:rsidP="00BC0247">
      <w:pPr>
        <w:autoSpaceDE w:val="0"/>
        <w:autoSpaceDN w:val="0"/>
        <w:adjustRightInd w:val="0"/>
        <w:spacing w:before="120" w:after="0" w:line="240" w:lineRule="auto"/>
        <w:ind w:left="1077" w:right="1287"/>
        <w:jc w:val="both"/>
        <w:rPr>
          <w:i/>
          <w:lang w:eastAsia="es-ES"/>
        </w:rPr>
      </w:pPr>
      <w:r>
        <w:rPr>
          <w:i/>
          <w:lang w:eastAsia="es-ES"/>
        </w:rPr>
        <w:t>4.5.1 Protección de espacios de interés ecológico o paisajístico</w:t>
      </w:r>
    </w:p>
    <w:p w14:paraId="7099CCCE"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En el municipio de Oia, la sierra de Argallo presenta unos interesantes valores medioambientales, paisajísticos, de protección de otros recursos naturales, educativos y recreativos, valores por los que deben preservarse para su protección, conservación o mejora.</w:t>
      </w:r>
    </w:p>
    <w:p w14:paraId="5752E4B5"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Se pretende preservar estos espacios de todo tipo de edificación permitiéndose únicamente la explotación racional de los recursos vinculados al medio, de forma que no se atente contra los valores esenciales que protegen.</w:t>
      </w:r>
    </w:p>
    <w:p w14:paraId="221CE6EC" w14:textId="77777777" w:rsidR="00BC0247" w:rsidRDefault="00BC0247" w:rsidP="00BC0247">
      <w:pPr>
        <w:autoSpaceDE w:val="0"/>
        <w:autoSpaceDN w:val="0"/>
        <w:adjustRightInd w:val="0"/>
        <w:spacing w:before="120" w:after="0" w:line="240" w:lineRule="auto"/>
        <w:ind w:left="1077" w:right="1287"/>
        <w:jc w:val="both"/>
        <w:rPr>
          <w:i/>
          <w:lang w:eastAsia="es-ES"/>
        </w:rPr>
      </w:pPr>
      <w:r>
        <w:rPr>
          <w:i/>
          <w:lang w:eastAsia="es-ES"/>
        </w:rPr>
        <w:t>4.5.4 Protección de zonas de interés forestal</w:t>
      </w:r>
    </w:p>
    <w:p w14:paraId="49D3A62E"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Se definen como tales aquellos terrenos que deban ser objeto de una especial protección por su capacidad productiva, actual o potencial en el sector forestal y por lo tanto, tengan que preservarse para éstos usos.</w:t>
      </w:r>
    </w:p>
    <w:p w14:paraId="579B0043"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Se incluyen en esta categoría las áreas de monte forestal que formen un conjunto superior a las 10 Ha.</w:t>
      </w:r>
    </w:p>
    <w:p w14:paraId="7065E41A" w14:textId="77777777" w:rsidR="00BC0247" w:rsidRDefault="00BC0247" w:rsidP="00BC0247">
      <w:pPr>
        <w:autoSpaceDE w:val="0"/>
        <w:autoSpaceDN w:val="0"/>
        <w:adjustRightInd w:val="0"/>
        <w:spacing w:after="0" w:line="240" w:lineRule="auto"/>
        <w:ind w:left="1080" w:right="1286"/>
        <w:jc w:val="both"/>
        <w:rPr>
          <w:i/>
          <w:lang w:eastAsia="es-ES"/>
        </w:rPr>
      </w:pPr>
      <w:r>
        <w:rPr>
          <w:i/>
          <w:lang w:eastAsia="es-ES"/>
        </w:rPr>
        <w:t>Sólo se permitirán en estas áreas las actividades directamente vinculadas a la explotación y vigilancia de los montes.</w:t>
      </w:r>
    </w:p>
    <w:p w14:paraId="0FECAA84" w14:textId="77777777" w:rsidR="00BC0247" w:rsidRDefault="00BC0247" w:rsidP="00BC0247">
      <w:pPr>
        <w:pStyle w:val="Prrafodelista"/>
        <w:pBdr>
          <w:top w:val="single" w:sz="4" w:space="1" w:color="auto"/>
          <w:left w:val="single" w:sz="4" w:space="4" w:color="auto"/>
          <w:bottom w:val="single" w:sz="4" w:space="1" w:color="auto"/>
          <w:right w:val="single" w:sz="4" w:space="4" w:color="auto"/>
        </w:pBdr>
        <w:spacing w:before="120"/>
        <w:ind w:left="709"/>
        <w:jc w:val="both"/>
        <w:rPr>
          <w:sz w:val="24"/>
          <w:szCs w:val="24"/>
        </w:rPr>
      </w:pPr>
      <w:bookmarkStart w:id="60" w:name="_Hlk86503543"/>
      <w:r>
        <w:rPr>
          <w:sz w:val="24"/>
          <w:szCs w:val="24"/>
        </w:rPr>
        <w:t>A recalificación dos solos afectados como solo rústico de protección de infraestruturas supón a perda dos esenciais valores que se protexen</w:t>
      </w:r>
      <w:bookmarkEnd w:id="60"/>
      <w:r>
        <w:rPr>
          <w:sz w:val="24"/>
          <w:szCs w:val="24"/>
        </w:rPr>
        <w:t>.</w:t>
      </w:r>
    </w:p>
    <w:p w14:paraId="0FB79D58" w14:textId="77777777" w:rsidR="00FE118F" w:rsidRDefault="00FE118F" w:rsidP="00FE118F"/>
    <w:p w14:paraId="54592D1C" w14:textId="38DB36F6" w:rsidR="009E719D" w:rsidRDefault="009E719D" w:rsidP="009E719D">
      <w:pPr>
        <w:pStyle w:val="Default"/>
        <w:shd w:val="clear" w:color="auto" w:fill="C6D9F1"/>
        <w:spacing w:before="120"/>
        <w:ind w:left="1701" w:hanging="1701"/>
        <w:jc w:val="both"/>
        <w:outlineLvl w:val="0"/>
        <w:rPr>
          <w:rFonts w:ascii="Calibri" w:hAnsi="Calibri" w:cs="Calibri"/>
          <w:b/>
          <w:bCs/>
        </w:rPr>
      </w:pPr>
      <w:bookmarkStart w:id="61" w:name="_Toc132510958"/>
      <w:r w:rsidRPr="00BC0247">
        <w:rPr>
          <w:rFonts w:ascii="Calibri" w:hAnsi="Calibri" w:cs="Calibri"/>
          <w:b/>
        </w:rPr>
        <w:t xml:space="preserve">ALEGACIÓN </w:t>
      </w:r>
      <w:r>
        <w:rPr>
          <w:rFonts w:ascii="Calibri" w:hAnsi="Calibri" w:cs="Calibri"/>
          <w:b/>
        </w:rPr>
        <w:t>1</w:t>
      </w:r>
      <w:r w:rsidR="00554BDF">
        <w:rPr>
          <w:rFonts w:ascii="Calibri" w:hAnsi="Calibri" w:cs="Calibri"/>
          <w:b/>
        </w:rPr>
        <w:t>9</w:t>
      </w:r>
      <w:r w:rsidRPr="00BC0247">
        <w:rPr>
          <w:rFonts w:ascii="Calibri" w:hAnsi="Calibri" w:cs="Calibri"/>
          <w:b/>
        </w:rPr>
        <w:t>.</w:t>
      </w:r>
      <w:r>
        <w:rPr>
          <w:rFonts w:ascii="Calibri" w:hAnsi="Calibri" w:cs="Calibri"/>
          <w:b/>
        </w:rPr>
        <w:t>-</w:t>
      </w:r>
      <w:r>
        <w:rPr>
          <w:rFonts w:ascii="Calibri" w:hAnsi="Calibri" w:cs="Calibri"/>
        </w:rPr>
        <w:t xml:space="preserve"> </w:t>
      </w:r>
      <w:r w:rsidR="00FE19B9" w:rsidRPr="00FE19B9">
        <w:rPr>
          <w:rFonts w:ascii="Calibri" w:hAnsi="Calibri" w:cs="Calibri"/>
          <w:b/>
        </w:rPr>
        <w:t xml:space="preserve">Tanto o </w:t>
      </w:r>
      <w:r w:rsidR="00FE19B9">
        <w:rPr>
          <w:rFonts w:ascii="Calibri" w:hAnsi="Calibri" w:cs="Calibri"/>
          <w:b/>
        </w:rPr>
        <w:t>PE</w:t>
      </w:r>
      <w:r w:rsidRPr="009E719D">
        <w:rPr>
          <w:rFonts w:ascii="Calibri" w:hAnsi="Calibri" w:cs="Calibri"/>
          <w:b/>
        </w:rPr>
        <w:t xml:space="preserve"> To</w:t>
      </w:r>
      <w:r w:rsidR="00674279">
        <w:rPr>
          <w:rFonts w:ascii="Calibri" w:hAnsi="Calibri" w:cs="Calibri"/>
          <w:b/>
        </w:rPr>
        <w:t>r</w:t>
      </w:r>
      <w:r w:rsidRPr="009E719D">
        <w:rPr>
          <w:rFonts w:ascii="Calibri" w:hAnsi="Calibri" w:cs="Calibri"/>
          <w:b/>
        </w:rPr>
        <w:t>roña</w:t>
      </w:r>
      <w:r w:rsidR="00674279">
        <w:rPr>
          <w:rFonts w:ascii="Calibri" w:hAnsi="Calibri" w:cs="Calibri"/>
          <w:b/>
        </w:rPr>
        <w:t xml:space="preserve"> I</w:t>
      </w:r>
      <w:r w:rsidR="00FE19B9">
        <w:rPr>
          <w:rFonts w:ascii="Calibri" w:hAnsi="Calibri" w:cs="Calibri"/>
          <w:b/>
        </w:rPr>
        <w:t xml:space="preserve"> como o PE Toroña</w:t>
      </w:r>
      <w:r w:rsidRPr="009E719D">
        <w:rPr>
          <w:rFonts w:ascii="Calibri" w:hAnsi="Calibri" w:cs="Calibri"/>
          <w:b/>
        </w:rPr>
        <w:t>, nunca debe</w:t>
      </w:r>
      <w:r w:rsidR="00FE19B9">
        <w:rPr>
          <w:rFonts w:ascii="Calibri" w:hAnsi="Calibri" w:cs="Calibri"/>
          <w:b/>
        </w:rPr>
        <w:t>ron</w:t>
      </w:r>
      <w:r w:rsidRPr="009E719D">
        <w:rPr>
          <w:rFonts w:ascii="Calibri" w:hAnsi="Calibri" w:cs="Calibri"/>
          <w:b/>
        </w:rPr>
        <w:t xml:space="preserve"> ser tramitado</w:t>
      </w:r>
      <w:r w:rsidR="00FE19B9">
        <w:rPr>
          <w:rFonts w:ascii="Calibri" w:hAnsi="Calibri" w:cs="Calibri"/>
          <w:b/>
        </w:rPr>
        <w:t>s</w:t>
      </w:r>
      <w:r w:rsidRPr="009E719D">
        <w:rPr>
          <w:rFonts w:ascii="Calibri" w:hAnsi="Calibri" w:cs="Calibri"/>
          <w:b/>
        </w:rPr>
        <w:t xml:space="preserve"> pola Xunta de Galicia pola súa superposición co PE Albariño I  presentado con anterioridade na Dirección </w:t>
      </w:r>
      <w:r>
        <w:rPr>
          <w:rFonts w:ascii="Calibri" w:hAnsi="Calibri" w:cs="Calibri"/>
          <w:b/>
        </w:rPr>
        <w:t>Xeral</w:t>
      </w:r>
      <w:r w:rsidRPr="009E719D">
        <w:rPr>
          <w:rFonts w:ascii="Calibri" w:hAnsi="Calibri" w:cs="Calibri"/>
          <w:b/>
        </w:rPr>
        <w:t xml:space="preserve"> de Planificación Ener</w:t>
      </w:r>
      <w:r>
        <w:rPr>
          <w:rFonts w:ascii="Calibri" w:hAnsi="Calibri" w:cs="Calibri"/>
          <w:b/>
        </w:rPr>
        <w:t>x</w:t>
      </w:r>
      <w:r w:rsidRPr="009E719D">
        <w:rPr>
          <w:rFonts w:ascii="Calibri" w:hAnsi="Calibri" w:cs="Calibri"/>
          <w:b/>
        </w:rPr>
        <w:t xml:space="preserve">ética </w:t>
      </w:r>
      <w:r>
        <w:rPr>
          <w:rFonts w:ascii="Calibri" w:hAnsi="Calibri" w:cs="Calibri"/>
          <w:b/>
        </w:rPr>
        <w:t>e</w:t>
      </w:r>
      <w:r w:rsidRPr="009E719D">
        <w:rPr>
          <w:rFonts w:ascii="Calibri" w:hAnsi="Calibri" w:cs="Calibri"/>
          <w:b/>
        </w:rPr>
        <w:t xml:space="preserve"> Recursos Minera</w:t>
      </w:r>
      <w:r>
        <w:rPr>
          <w:rFonts w:ascii="Calibri" w:hAnsi="Calibri" w:cs="Calibri"/>
          <w:b/>
        </w:rPr>
        <w:t>is</w:t>
      </w:r>
      <w:r w:rsidRPr="009E719D">
        <w:rPr>
          <w:rFonts w:ascii="Calibri" w:hAnsi="Calibri" w:cs="Calibri"/>
          <w:b/>
        </w:rPr>
        <w:t xml:space="preserve"> da Xunta de Galicia.</w:t>
      </w:r>
      <w:bookmarkEnd w:id="61"/>
      <w:r w:rsidR="00446B26">
        <w:rPr>
          <w:rFonts w:ascii="Calibri" w:hAnsi="Calibri" w:cs="Calibri"/>
          <w:b/>
        </w:rPr>
        <w:t xml:space="preserve"> </w:t>
      </w:r>
    </w:p>
    <w:p w14:paraId="551965A9" w14:textId="1D2441A2" w:rsidR="00BA280A" w:rsidRPr="003B1036" w:rsidRDefault="00BA280A" w:rsidP="00D46D97">
      <w:pPr>
        <w:pStyle w:val="Default"/>
        <w:spacing w:before="120"/>
        <w:jc w:val="both"/>
        <w:rPr>
          <w:rFonts w:ascii="Calibri" w:hAnsi="Calibri"/>
        </w:rPr>
      </w:pPr>
      <w:r w:rsidRPr="003B1036">
        <w:rPr>
          <w:rFonts w:ascii="Calibri" w:hAnsi="Calibri"/>
        </w:rPr>
        <w:t>Hai dous parques eólicos que comparten espacio co P.E. Tor</w:t>
      </w:r>
      <w:r w:rsidR="003B1036">
        <w:rPr>
          <w:rFonts w:ascii="Calibri" w:hAnsi="Calibri"/>
        </w:rPr>
        <w:t>r</w:t>
      </w:r>
      <w:r w:rsidRPr="003B1036">
        <w:rPr>
          <w:rFonts w:ascii="Calibri" w:hAnsi="Calibri"/>
        </w:rPr>
        <w:t>oña</w:t>
      </w:r>
      <w:r w:rsidR="003B1036">
        <w:rPr>
          <w:rFonts w:ascii="Calibri" w:hAnsi="Calibri"/>
        </w:rPr>
        <w:t xml:space="preserve"> I</w:t>
      </w:r>
      <w:r w:rsidRPr="003B1036">
        <w:rPr>
          <w:rFonts w:ascii="Calibri" w:hAnsi="Calibri"/>
        </w:rPr>
        <w:t xml:space="preserve">. Cronolóxicamente o primeiro presentado </w:t>
      </w:r>
      <w:r w:rsidR="00405A9C" w:rsidRPr="003B1036">
        <w:rPr>
          <w:rFonts w:ascii="Calibri" w:hAnsi="Calibri"/>
        </w:rPr>
        <w:t xml:space="preserve">na administración </w:t>
      </w:r>
      <w:r w:rsidRPr="003B1036">
        <w:rPr>
          <w:rFonts w:ascii="Calibri" w:hAnsi="Calibri"/>
        </w:rPr>
        <w:t>para a súa admisión a trámite, foi o Albariño I</w:t>
      </w:r>
      <w:r w:rsidR="00446B26" w:rsidRPr="003B1036">
        <w:rPr>
          <w:rFonts w:ascii="Calibri" w:hAnsi="Calibri"/>
        </w:rPr>
        <w:t xml:space="preserve"> </w:t>
      </w:r>
      <w:r w:rsidR="00446B26" w:rsidRPr="003B1036">
        <w:rPr>
          <w:rFonts w:asciiTheme="minorHAnsi" w:hAnsiTheme="minorHAnsi" w:cstheme="minorHAnsi"/>
          <w:i/>
          <w:iCs/>
          <w:lang w:eastAsia="es-ES"/>
        </w:rPr>
        <w:t>(expediente: IN661A 2007/1-4)</w:t>
      </w:r>
      <w:r w:rsidRPr="003B1036">
        <w:rPr>
          <w:rFonts w:ascii="Calibri" w:hAnsi="Calibri"/>
        </w:rPr>
        <w:t>, seguido do Tor</w:t>
      </w:r>
      <w:r w:rsidR="002922D2" w:rsidRPr="003B1036">
        <w:rPr>
          <w:rFonts w:ascii="Calibri" w:hAnsi="Calibri"/>
        </w:rPr>
        <w:t>r</w:t>
      </w:r>
      <w:r w:rsidRPr="003B1036">
        <w:rPr>
          <w:rFonts w:ascii="Calibri" w:hAnsi="Calibri"/>
        </w:rPr>
        <w:t xml:space="preserve">oña I, e </w:t>
      </w:r>
      <w:r w:rsidR="00405A9C" w:rsidRPr="003B1036">
        <w:rPr>
          <w:rFonts w:ascii="Calibri" w:hAnsi="Calibri"/>
        </w:rPr>
        <w:t>finalmente o 18/12/2020 o P.E. Toroña.</w:t>
      </w:r>
    </w:p>
    <w:p w14:paraId="72557AE9" w14:textId="4BC6BB0E" w:rsidR="009E719D" w:rsidRDefault="00AB218A" w:rsidP="00D46D97">
      <w:pPr>
        <w:pStyle w:val="Default"/>
        <w:spacing w:before="120"/>
        <w:jc w:val="both"/>
        <w:rPr>
          <w:rFonts w:asciiTheme="minorHAnsi" w:hAnsiTheme="minorHAnsi" w:cstheme="minorHAnsi"/>
        </w:rPr>
      </w:pPr>
      <w:r w:rsidRPr="003B1036">
        <w:rPr>
          <w:rFonts w:ascii="Calibri" w:hAnsi="Calibri"/>
        </w:rPr>
        <w:t>O Artigo 29</w:t>
      </w:r>
      <w:r>
        <w:rPr>
          <w:rFonts w:ascii="Calibri" w:hAnsi="Calibri"/>
        </w:rPr>
        <w:t xml:space="preserve">.4.h da Lei </w:t>
      </w:r>
      <w:r w:rsidR="000009EB" w:rsidRPr="00C7690A">
        <w:rPr>
          <w:rFonts w:asciiTheme="minorHAnsi" w:hAnsiTheme="minorHAnsi" w:cstheme="minorHAnsi"/>
        </w:rPr>
        <w:t>8/2009, de 22 de d</w:t>
      </w:r>
      <w:r w:rsidR="000009EB">
        <w:rPr>
          <w:rFonts w:asciiTheme="minorHAnsi" w:hAnsiTheme="minorHAnsi" w:cstheme="minorHAnsi"/>
        </w:rPr>
        <w:t>e</w:t>
      </w:r>
      <w:r w:rsidR="000009EB" w:rsidRPr="00C7690A">
        <w:rPr>
          <w:rFonts w:asciiTheme="minorHAnsi" w:hAnsiTheme="minorHAnsi" w:cstheme="minorHAnsi"/>
        </w:rPr>
        <w:t>cembr</w:t>
      </w:r>
      <w:r w:rsidR="000009EB">
        <w:rPr>
          <w:rFonts w:asciiTheme="minorHAnsi" w:hAnsiTheme="minorHAnsi" w:cstheme="minorHAnsi"/>
        </w:rPr>
        <w:t>o</w:t>
      </w:r>
      <w:r w:rsidR="000009EB" w:rsidRPr="00C7690A">
        <w:rPr>
          <w:rFonts w:asciiTheme="minorHAnsi" w:hAnsiTheme="minorHAnsi" w:cstheme="minorHAnsi"/>
        </w:rPr>
        <w:t>, po</w:t>
      </w:r>
      <w:r w:rsidR="000009EB">
        <w:rPr>
          <w:rFonts w:asciiTheme="minorHAnsi" w:hAnsiTheme="minorHAnsi" w:cstheme="minorHAnsi"/>
        </w:rPr>
        <w:t>l</w:t>
      </w:r>
      <w:r w:rsidR="000009EB" w:rsidRPr="00C7690A">
        <w:rPr>
          <w:rFonts w:asciiTheme="minorHAnsi" w:hAnsiTheme="minorHAnsi" w:cstheme="minorHAnsi"/>
        </w:rPr>
        <w:t xml:space="preserve">a que se regula </w:t>
      </w:r>
      <w:r w:rsidR="000009EB">
        <w:rPr>
          <w:rFonts w:asciiTheme="minorHAnsi" w:hAnsiTheme="minorHAnsi" w:cstheme="minorHAnsi"/>
        </w:rPr>
        <w:t>o</w:t>
      </w:r>
      <w:r w:rsidR="000009EB" w:rsidRPr="00C7690A">
        <w:rPr>
          <w:rFonts w:asciiTheme="minorHAnsi" w:hAnsiTheme="minorHAnsi" w:cstheme="minorHAnsi"/>
        </w:rPr>
        <w:t xml:space="preserve"> aprove</w:t>
      </w:r>
      <w:r w:rsidR="000009EB">
        <w:rPr>
          <w:rFonts w:asciiTheme="minorHAnsi" w:hAnsiTheme="minorHAnsi" w:cstheme="minorHAnsi"/>
        </w:rPr>
        <w:t>itamento</w:t>
      </w:r>
      <w:r w:rsidR="000009EB" w:rsidRPr="00C7690A">
        <w:rPr>
          <w:rFonts w:asciiTheme="minorHAnsi" w:hAnsiTheme="minorHAnsi" w:cstheme="minorHAnsi"/>
        </w:rPr>
        <w:t xml:space="preserve"> eólico en Galicia </w:t>
      </w:r>
      <w:r w:rsidR="000009EB">
        <w:rPr>
          <w:rFonts w:asciiTheme="minorHAnsi" w:hAnsiTheme="minorHAnsi" w:cstheme="minorHAnsi"/>
        </w:rPr>
        <w:t>e</w:t>
      </w:r>
      <w:r w:rsidR="000009EB" w:rsidRPr="00C7690A">
        <w:rPr>
          <w:rFonts w:asciiTheme="minorHAnsi" w:hAnsiTheme="minorHAnsi" w:cstheme="minorHAnsi"/>
        </w:rPr>
        <w:t xml:space="preserve"> se crean </w:t>
      </w:r>
      <w:r w:rsidR="000009EB">
        <w:rPr>
          <w:rFonts w:asciiTheme="minorHAnsi" w:hAnsiTheme="minorHAnsi" w:cstheme="minorHAnsi"/>
        </w:rPr>
        <w:t>o</w:t>
      </w:r>
      <w:r w:rsidR="000009EB" w:rsidRPr="00C7690A">
        <w:rPr>
          <w:rFonts w:asciiTheme="minorHAnsi" w:hAnsiTheme="minorHAnsi" w:cstheme="minorHAnsi"/>
        </w:rPr>
        <w:t xml:space="preserve"> canon eólico </w:t>
      </w:r>
      <w:r w:rsidR="000009EB">
        <w:rPr>
          <w:rFonts w:asciiTheme="minorHAnsi" w:hAnsiTheme="minorHAnsi" w:cstheme="minorHAnsi"/>
        </w:rPr>
        <w:t>e</w:t>
      </w:r>
      <w:r w:rsidR="000009EB" w:rsidRPr="00C7690A">
        <w:rPr>
          <w:rFonts w:asciiTheme="minorHAnsi" w:hAnsiTheme="minorHAnsi" w:cstheme="minorHAnsi"/>
        </w:rPr>
        <w:t xml:space="preserve"> </w:t>
      </w:r>
      <w:r w:rsidR="000009EB">
        <w:rPr>
          <w:rFonts w:asciiTheme="minorHAnsi" w:hAnsiTheme="minorHAnsi" w:cstheme="minorHAnsi"/>
        </w:rPr>
        <w:t>o</w:t>
      </w:r>
      <w:r w:rsidR="000009EB" w:rsidRPr="00C7690A">
        <w:rPr>
          <w:rFonts w:asciiTheme="minorHAnsi" w:hAnsiTheme="minorHAnsi" w:cstheme="minorHAnsi"/>
        </w:rPr>
        <w:t xml:space="preserve"> </w:t>
      </w:r>
      <w:r w:rsidR="000009EB">
        <w:rPr>
          <w:rFonts w:asciiTheme="minorHAnsi" w:hAnsiTheme="minorHAnsi" w:cstheme="minorHAnsi"/>
        </w:rPr>
        <w:t xml:space="preserve">Fondo de Compensación Ambiental, fala do </w:t>
      </w:r>
      <w:r w:rsidR="000009EB" w:rsidRPr="000009EB">
        <w:rPr>
          <w:rFonts w:asciiTheme="minorHAnsi" w:hAnsiTheme="minorHAnsi" w:cstheme="minorHAnsi"/>
        </w:rPr>
        <w:t xml:space="preserve"> modelo normalizado de solicitud</w:t>
      </w:r>
      <w:r w:rsidR="000009EB">
        <w:rPr>
          <w:rFonts w:asciiTheme="minorHAnsi" w:hAnsiTheme="minorHAnsi" w:cstheme="minorHAnsi"/>
        </w:rPr>
        <w:t>e</w:t>
      </w:r>
      <w:r w:rsidR="000009EB" w:rsidRPr="000009EB">
        <w:rPr>
          <w:rFonts w:asciiTheme="minorHAnsi" w:hAnsiTheme="minorHAnsi" w:cstheme="minorHAnsi"/>
        </w:rPr>
        <w:t xml:space="preserve"> de autorización </w:t>
      </w:r>
      <w:r w:rsidR="000009EB">
        <w:rPr>
          <w:rFonts w:asciiTheme="minorHAnsi" w:hAnsiTheme="minorHAnsi" w:cstheme="minorHAnsi"/>
        </w:rPr>
        <w:t xml:space="preserve">que </w:t>
      </w:r>
      <w:r w:rsidR="000009EB" w:rsidRPr="000009EB">
        <w:rPr>
          <w:rFonts w:asciiTheme="minorHAnsi" w:hAnsiTheme="minorHAnsi" w:cstheme="minorHAnsi"/>
        </w:rPr>
        <w:t>se aprobará por orden da conse</w:t>
      </w:r>
      <w:r w:rsidR="000009EB">
        <w:rPr>
          <w:rFonts w:asciiTheme="minorHAnsi" w:hAnsiTheme="minorHAnsi" w:cstheme="minorHAnsi"/>
        </w:rPr>
        <w:t>ll</w:t>
      </w:r>
      <w:r w:rsidR="000009EB" w:rsidRPr="000009EB">
        <w:rPr>
          <w:rFonts w:asciiTheme="minorHAnsi" w:hAnsiTheme="minorHAnsi" w:cstheme="minorHAnsi"/>
        </w:rPr>
        <w:t>ería competente en materia de ener</w:t>
      </w:r>
      <w:r w:rsidR="000009EB">
        <w:rPr>
          <w:rFonts w:asciiTheme="minorHAnsi" w:hAnsiTheme="minorHAnsi" w:cstheme="minorHAnsi"/>
        </w:rPr>
        <w:t>x</w:t>
      </w:r>
      <w:r w:rsidR="000009EB" w:rsidRPr="000009EB">
        <w:rPr>
          <w:rFonts w:asciiTheme="minorHAnsi" w:hAnsiTheme="minorHAnsi" w:cstheme="minorHAnsi"/>
        </w:rPr>
        <w:t xml:space="preserve">ía, así como a documentación necesaria que se acompañará </w:t>
      </w:r>
      <w:r w:rsidR="000009EB">
        <w:rPr>
          <w:rFonts w:asciiTheme="minorHAnsi" w:hAnsiTheme="minorHAnsi" w:cstheme="minorHAnsi"/>
        </w:rPr>
        <w:t>á</w:t>
      </w:r>
      <w:r w:rsidR="000009EB" w:rsidRPr="000009EB">
        <w:rPr>
          <w:rFonts w:asciiTheme="minorHAnsi" w:hAnsiTheme="minorHAnsi" w:cstheme="minorHAnsi"/>
        </w:rPr>
        <w:t xml:space="preserve"> m</w:t>
      </w:r>
      <w:r w:rsidR="000009EB">
        <w:rPr>
          <w:rFonts w:asciiTheme="minorHAnsi" w:hAnsiTheme="minorHAnsi" w:cstheme="minorHAnsi"/>
        </w:rPr>
        <w:t>e</w:t>
      </w:r>
      <w:r w:rsidR="000009EB" w:rsidRPr="000009EB">
        <w:rPr>
          <w:rFonts w:asciiTheme="minorHAnsi" w:hAnsiTheme="minorHAnsi" w:cstheme="minorHAnsi"/>
        </w:rPr>
        <w:t xml:space="preserve">sma, que se presentará en formato electrónico </w:t>
      </w:r>
      <w:r w:rsidR="000009EB">
        <w:rPr>
          <w:rFonts w:asciiTheme="minorHAnsi" w:hAnsiTheme="minorHAnsi" w:cstheme="minorHAnsi"/>
        </w:rPr>
        <w:t>e</w:t>
      </w:r>
      <w:r w:rsidR="000009EB" w:rsidRPr="000009EB">
        <w:rPr>
          <w:rFonts w:asciiTheme="minorHAnsi" w:hAnsiTheme="minorHAnsi" w:cstheme="minorHAnsi"/>
        </w:rPr>
        <w:t>, al</w:t>
      </w:r>
      <w:r w:rsidR="000009EB">
        <w:rPr>
          <w:rFonts w:asciiTheme="minorHAnsi" w:hAnsiTheme="minorHAnsi" w:cstheme="minorHAnsi"/>
        </w:rPr>
        <w:t>o</w:t>
      </w:r>
      <w:r w:rsidR="000009EB" w:rsidRPr="000009EB">
        <w:rPr>
          <w:rFonts w:asciiTheme="minorHAnsi" w:hAnsiTheme="minorHAnsi" w:cstheme="minorHAnsi"/>
        </w:rPr>
        <w:t xml:space="preserve"> menos, contendrá:</w:t>
      </w:r>
    </w:p>
    <w:p w14:paraId="2202F123" w14:textId="30976664" w:rsidR="000009EB" w:rsidRDefault="000009EB" w:rsidP="00D46D97">
      <w:pPr>
        <w:pStyle w:val="Default"/>
        <w:spacing w:before="120"/>
        <w:jc w:val="both"/>
        <w:rPr>
          <w:rFonts w:asciiTheme="minorHAnsi" w:hAnsiTheme="minorHAnsi" w:cstheme="minorHAnsi"/>
        </w:rPr>
      </w:pPr>
      <w:r>
        <w:rPr>
          <w:rFonts w:asciiTheme="minorHAnsi" w:hAnsiTheme="minorHAnsi" w:cstheme="minorHAnsi"/>
        </w:rPr>
        <w:t>…</w:t>
      </w:r>
    </w:p>
    <w:p w14:paraId="78D2F83C" w14:textId="2F5725FE" w:rsidR="000009EB" w:rsidRPr="000009EB" w:rsidRDefault="000009EB" w:rsidP="000009EB">
      <w:pPr>
        <w:autoSpaceDE w:val="0"/>
        <w:autoSpaceDN w:val="0"/>
        <w:adjustRightInd w:val="0"/>
        <w:ind w:left="1416"/>
        <w:jc w:val="both"/>
        <w:rPr>
          <w:rFonts w:cstheme="minorHAnsi"/>
          <w:b/>
          <w:i/>
          <w:color w:val="000000"/>
          <w:sz w:val="18"/>
          <w:szCs w:val="18"/>
        </w:rPr>
      </w:pPr>
      <w:r w:rsidRPr="000009EB">
        <w:rPr>
          <w:rFonts w:cstheme="minorHAnsi"/>
          <w:b/>
          <w:i/>
          <w:color w:val="000000"/>
          <w:sz w:val="18"/>
          <w:szCs w:val="18"/>
        </w:rPr>
        <w:t xml:space="preserve">h) Para aquellos casos en que se produzca </w:t>
      </w:r>
      <w:r w:rsidRPr="000009EB">
        <w:rPr>
          <w:rFonts w:cstheme="minorHAnsi"/>
          <w:b/>
          <w:i/>
          <w:color w:val="000000"/>
          <w:sz w:val="18"/>
          <w:szCs w:val="18"/>
          <w:u w:val="single"/>
        </w:rPr>
        <w:t>solapamiento</w:t>
      </w:r>
      <w:r w:rsidRPr="000009EB">
        <w:rPr>
          <w:rFonts w:cstheme="minorHAnsi"/>
          <w:b/>
          <w:i/>
          <w:color w:val="000000"/>
          <w:sz w:val="18"/>
          <w:szCs w:val="18"/>
        </w:rPr>
        <w:t xml:space="preserve"> en los términos establecidos en el artículo 31, </w:t>
      </w:r>
      <w:r w:rsidRPr="00405A9C">
        <w:rPr>
          <w:rFonts w:cstheme="minorHAnsi"/>
          <w:b/>
          <w:i/>
          <w:color w:val="000000"/>
          <w:sz w:val="18"/>
          <w:szCs w:val="18"/>
          <w:u w:val="single"/>
        </w:rPr>
        <w:t>escritura pública del acuerdo entre las partes</w:t>
      </w:r>
      <w:r w:rsidRPr="000009EB">
        <w:rPr>
          <w:rFonts w:cstheme="minorHAnsi"/>
          <w:b/>
          <w:i/>
          <w:color w:val="000000"/>
          <w:sz w:val="18"/>
          <w:szCs w:val="18"/>
        </w:rPr>
        <w:t xml:space="preserve"> a que hace mención dicho artículo.</w:t>
      </w:r>
    </w:p>
    <w:p w14:paraId="5EC15877" w14:textId="77777777" w:rsidR="000009EB" w:rsidRPr="000009EB" w:rsidRDefault="000009EB" w:rsidP="000009EB">
      <w:pPr>
        <w:pStyle w:val="Prrafodelista"/>
        <w:autoSpaceDE w:val="0"/>
        <w:autoSpaceDN w:val="0"/>
        <w:adjustRightInd w:val="0"/>
        <w:ind w:left="1776"/>
        <w:jc w:val="both"/>
        <w:rPr>
          <w:rFonts w:cstheme="minorHAnsi"/>
          <w:b/>
          <w:i/>
          <w:color w:val="000000"/>
          <w:sz w:val="18"/>
          <w:szCs w:val="18"/>
        </w:rPr>
      </w:pPr>
    </w:p>
    <w:p w14:paraId="1B077D03" w14:textId="77777777" w:rsidR="000009EB" w:rsidRDefault="000009EB" w:rsidP="000009EB">
      <w:pPr>
        <w:ind w:left="708"/>
        <w:jc w:val="both"/>
        <w:rPr>
          <w:rFonts w:cstheme="minorHAnsi"/>
          <w:i/>
          <w:color w:val="000000"/>
          <w:sz w:val="18"/>
          <w:szCs w:val="18"/>
        </w:rPr>
      </w:pPr>
      <w:r w:rsidRPr="000009EB">
        <w:rPr>
          <w:rFonts w:cstheme="minorHAnsi"/>
          <w:i/>
          <w:color w:val="000000"/>
          <w:sz w:val="18"/>
          <w:szCs w:val="18"/>
        </w:rPr>
        <w:lastRenderedPageBreak/>
        <w:t>5. Si la solicitud presentada no reuniera los requisitos exigidos en el apartado anterior, se requerirá a la persona interesada para su subsanación, concediéndole un plazo de diez días, con indicación de que, si así no lo hiciese, se tendrá por desistida de la misma.</w:t>
      </w:r>
    </w:p>
    <w:p w14:paraId="374384FD" w14:textId="4A2C70E3" w:rsidR="00A40A75" w:rsidRDefault="00A40A75" w:rsidP="000009EB">
      <w:pPr>
        <w:ind w:left="708"/>
        <w:jc w:val="both"/>
        <w:rPr>
          <w:rFonts w:cstheme="minorHAnsi"/>
          <w:i/>
          <w:color w:val="000000"/>
          <w:sz w:val="18"/>
          <w:szCs w:val="18"/>
        </w:rPr>
      </w:pPr>
      <w:r>
        <w:rPr>
          <w:rFonts w:cstheme="minorHAnsi"/>
          <w:i/>
          <w:color w:val="000000"/>
          <w:sz w:val="18"/>
          <w:szCs w:val="18"/>
        </w:rPr>
        <w:t>…</w:t>
      </w:r>
    </w:p>
    <w:p w14:paraId="536A2B30" w14:textId="77777777" w:rsidR="00A40A75" w:rsidRPr="00A40A75" w:rsidRDefault="00A40A75" w:rsidP="00A40A75">
      <w:pPr>
        <w:ind w:left="708"/>
        <w:jc w:val="both"/>
        <w:rPr>
          <w:sz w:val="18"/>
          <w:szCs w:val="18"/>
        </w:rPr>
      </w:pPr>
      <w:r w:rsidRPr="00A40A75">
        <w:rPr>
          <w:b/>
          <w:sz w:val="18"/>
          <w:szCs w:val="18"/>
        </w:rPr>
        <w:t>Artículo 31</w:t>
      </w:r>
      <w:r w:rsidRPr="00A40A75">
        <w:rPr>
          <w:sz w:val="18"/>
          <w:szCs w:val="18"/>
        </w:rPr>
        <w:t xml:space="preserve">. Requisitos de las solicitudes de autorización previa y de construcción de parques eólicos. </w:t>
      </w:r>
    </w:p>
    <w:p w14:paraId="2B07B7B1" w14:textId="77777777" w:rsidR="00A40A75" w:rsidRPr="00A40A75" w:rsidRDefault="00A40A75" w:rsidP="00A40A75">
      <w:pPr>
        <w:pStyle w:val="Prrafodelista"/>
        <w:ind w:left="1428"/>
        <w:jc w:val="both"/>
        <w:rPr>
          <w:b/>
          <w:sz w:val="18"/>
          <w:szCs w:val="18"/>
        </w:rPr>
      </w:pPr>
      <w:r w:rsidRPr="00A40A75">
        <w:rPr>
          <w:b/>
          <w:sz w:val="18"/>
          <w:szCs w:val="18"/>
        </w:rPr>
        <w:t xml:space="preserve">1. Las solicitudes a que se refiere el artículo 29 </w:t>
      </w:r>
      <w:r w:rsidRPr="00A40A75">
        <w:rPr>
          <w:b/>
          <w:sz w:val="18"/>
          <w:szCs w:val="18"/>
          <w:u w:val="single"/>
        </w:rPr>
        <w:t>no podrán solaparse, en el momento de la solicitud, con ningún parque eólico en explotación, autorizado pendiente de construcción o  en fase de tramitación administrativa, salvo que exista un acuerdo entre los titulares de los parques eólicos afectados</w:t>
      </w:r>
      <w:r w:rsidRPr="00A40A75">
        <w:rPr>
          <w:b/>
          <w:sz w:val="18"/>
          <w:szCs w:val="18"/>
        </w:rPr>
        <w:t>.</w:t>
      </w:r>
    </w:p>
    <w:p w14:paraId="621EC050" w14:textId="77777777" w:rsidR="00A40A75" w:rsidRPr="00A40A75" w:rsidRDefault="00A40A75" w:rsidP="00A40A75">
      <w:pPr>
        <w:pStyle w:val="Prrafodelista"/>
        <w:ind w:left="1428"/>
        <w:jc w:val="both"/>
        <w:rPr>
          <w:b/>
          <w:sz w:val="18"/>
          <w:szCs w:val="18"/>
        </w:rPr>
      </w:pPr>
      <w:r w:rsidRPr="00A40A75">
        <w:rPr>
          <w:sz w:val="18"/>
          <w:szCs w:val="18"/>
        </w:rPr>
        <w:t xml:space="preserve">2. A estos efectos, se establecerán reglamentariamente los criterios que determinen la existencia de solapamiento entre parques eólicos. </w:t>
      </w:r>
    </w:p>
    <w:p w14:paraId="50C4B40C" w14:textId="77777777" w:rsidR="00A40A75" w:rsidRPr="00A40A75" w:rsidRDefault="00A40A75" w:rsidP="00A40A75">
      <w:pPr>
        <w:pStyle w:val="Prrafodelista"/>
        <w:ind w:left="1428"/>
        <w:jc w:val="both"/>
        <w:rPr>
          <w:b/>
          <w:sz w:val="18"/>
          <w:szCs w:val="18"/>
        </w:rPr>
      </w:pPr>
      <w:r w:rsidRPr="00A40A75">
        <w:rPr>
          <w:sz w:val="18"/>
          <w:szCs w:val="18"/>
        </w:rPr>
        <w:t>3. Se considerará que un parque eólico se halla en fase de tramitación administrativa desde el momento en que la persona solicitante presente la correspondiente solicitud, siempre que en la fecha de presentación de la misma cumpliese con los requisitos necesarios para su admisión a trámite</w:t>
      </w:r>
    </w:p>
    <w:p w14:paraId="69F0BC06" w14:textId="77777777" w:rsidR="00A40A75" w:rsidRPr="000009EB" w:rsidRDefault="00A40A75" w:rsidP="000009EB">
      <w:pPr>
        <w:ind w:left="708"/>
        <w:jc w:val="both"/>
        <w:rPr>
          <w:rFonts w:cstheme="minorHAnsi"/>
          <w:i/>
          <w:color w:val="000000"/>
          <w:sz w:val="18"/>
          <w:szCs w:val="18"/>
        </w:rPr>
      </w:pPr>
    </w:p>
    <w:p w14:paraId="3B3FE418" w14:textId="494F7D1A" w:rsidR="000009EB" w:rsidRDefault="000009EB" w:rsidP="00D46D97">
      <w:pPr>
        <w:pStyle w:val="Default"/>
        <w:spacing w:before="120"/>
        <w:jc w:val="both"/>
        <w:rPr>
          <w:rFonts w:ascii="Calibri" w:hAnsi="Calibri"/>
        </w:rPr>
      </w:pPr>
      <w:r>
        <w:rPr>
          <w:rFonts w:ascii="Calibri" w:hAnsi="Calibri"/>
        </w:rPr>
        <w:t>O solapamento é evidente como pode comprobarse no seguinte gráfico:</w:t>
      </w:r>
    </w:p>
    <w:p w14:paraId="097F2644" w14:textId="264191A8" w:rsidR="000009EB" w:rsidRDefault="000009EB" w:rsidP="000009EB">
      <w:pPr>
        <w:pStyle w:val="Default"/>
        <w:spacing w:before="120"/>
        <w:jc w:val="center"/>
        <w:rPr>
          <w:rFonts w:ascii="Calibri" w:hAnsi="Calibri"/>
        </w:rPr>
      </w:pPr>
      <w:r>
        <w:rPr>
          <w:rFonts w:ascii="Calibri" w:hAnsi="Calibri"/>
          <w:noProof/>
          <w:lang w:eastAsia="es-ES"/>
        </w:rPr>
        <w:drawing>
          <wp:inline distT="0" distB="0" distL="0" distR="0" wp14:anchorId="779575CA" wp14:editId="6088D76B">
            <wp:extent cx="3466531" cy="4461629"/>
            <wp:effectExtent l="0" t="0" r="63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3466625" cy="4461750"/>
                    </a:xfrm>
                    <a:prstGeom prst="rect">
                      <a:avLst/>
                    </a:prstGeom>
                    <a:noFill/>
                    <a:ln>
                      <a:noFill/>
                    </a:ln>
                  </pic:spPr>
                </pic:pic>
              </a:graphicData>
            </a:graphic>
          </wp:inline>
        </w:drawing>
      </w:r>
    </w:p>
    <w:p w14:paraId="7CBD18E8" w14:textId="77DA045F" w:rsidR="000009EB" w:rsidRDefault="000009EB" w:rsidP="00A40A75">
      <w:pPr>
        <w:pStyle w:val="Default"/>
        <w:spacing w:before="120"/>
        <w:jc w:val="both"/>
        <w:rPr>
          <w:rFonts w:ascii="Calibri" w:hAnsi="Calibri"/>
        </w:rPr>
      </w:pPr>
      <w:r>
        <w:rPr>
          <w:rFonts w:ascii="Calibri" w:hAnsi="Calibri"/>
        </w:rPr>
        <w:t>E na documentación de ningún dos tres parques eólicos</w:t>
      </w:r>
      <w:r w:rsidR="00A40A75">
        <w:rPr>
          <w:rFonts w:ascii="Calibri" w:hAnsi="Calibri"/>
        </w:rPr>
        <w:t xml:space="preserve"> </w:t>
      </w:r>
      <w:r w:rsidR="008579BE">
        <w:rPr>
          <w:rFonts w:ascii="Calibri" w:hAnsi="Calibri"/>
        </w:rPr>
        <w:t xml:space="preserve">solapados (Albariño I, Torroña I o Toroña) </w:t>
      </w:r>
      <w:r w:rsidR="00A40A75">
        <w:rPr>
          <w:rFonts w:ascii="Calibri" w:hAnsi="Calibri"/>
        </w:rPr>
        <w:t xml:space="preserve">figura </w:t>
      </w:r>
      <w:r w:rsidR="00DE3C18">
        <w:rPr>
          <w:rFonts w:ascii="Calibri" w:hAnsi="Calibri"/>
        </w:rPr>
        <w:t>a</w:t>
      </w:r>
      <w:r w:rsidR="00A40A75">
        <w:rPr>
          <w:rFonts w:ascii="Calibri" w:hAnsi="Calibri"/>
        </w:rPr>
        <w:t xml:space="preserve"> preceptiv</w:t>
      </w:r>
      <w:r w:rsidR="00DE3C18">
        <w:rPr>
          <w:rFonts w:ascii="Calibri" w:hAnsi="Calibri"/>
        </w:rPr>
        <w:t>a</w:t>
      </w:r>
      <w:r w:rsidR="00A40A75">
        <w:rPr>
          <w:rFonts w:ascii="Calibri" w:hAnsi="Calibri"/>
        </w:rPr>
        <w:t xml:space="preserve"> </w:t>
      </w:r>
      <w:r w:rsidR="00DE3C18">
        <w:rPr>
          <w:rFonts w:ascii="Calibri" w:hAnsi="Calibri"/>
        </w:rPr>
        <w:t xml:space="preserve">escritura pública de </w:t>
      </w:r>
      <w:r w:rsidR="00A40A75">
        <w:rPr>
          <w:rFonts w:ascii="Calibri" w:hAnsi="Calibri"/>
        </w:rPr>
        <w:t>acordo entre os tit</w:t>
      </w:r>
      <w:r w:rsidR="00C23B5C">
        <w:rPr>
          <w:rFonts w:ascii="Calibri" w:hAnsi="Calibri"/>
        </w:rPr>
        <w:t>u</w:t>
      </w:r>
      <w:r w:rsidR="00A40A75">
        <w:rPr>
          <w:rFonts w:ascii="Calibri" w:hAnsi="Calibri"/>
        </w:rPr>
        <w:t xml:space="preserve">lares, e dado que o </w:t>
      </w:r>
      <w:r w:rsidR="003B1036">
        <w:rPr>
          <w:rFonts w:ascii="Calibri" w:hAnsi="Calibri"/>
        </w:rPr>
        <w:t xml:space="preserve">PE Albariño I foi presentado na administración con anterioridade </w:t>
      </w:r>
      <w:r w:rsidR="00A40A75">
        <w:rPr>
          <w:rFonts w:ascii="Calibri" w:hAnsi="Calibri"/>
        </w:rPr>
        <w:t>o P.E. Tor</w:t>
      </w:r>
      <w:r w:rsidR="003B1036">
        <w:rPr>
          <w:rFonts w:ascii="Calibri" w:hAnsi="Calibri"/>
        </w:rPr>
        <w:t>r</w:t>
      </w:r>
      <w:r w:rsidR="00A40A75">
        <w:rPr>
          <w:rFonts w:ascii="Calibri" w:hAnsi="Calibri"/>
        </w:rPr>
        <w:t>oña</w:t>
      </w:r>
      <w:r w:rsidR="003B1036">
        <w:rPr>
          <w:rFonts w:ascii="Calibri" w:hAnsi="Calibri"/>
        </w:rPr>
        <w:t xml:space="preserve"> I</w:t>
      </w:r>
      <w:r w:rsidR="00A40A75">
        <w:rPr>
          <w:rFonts w:ascii="Calibri" w:hAnsi="Calibri"/>
        </w:rPr>
        <w:t>, éste nunca debeu ser admitido a trámite pola administración</w:t>
      </w:r>
      <w:r w:rsidR="003B1036">
        <w:rPr>
          <w:rFonts w:ascii="Calibri" w:hAnsi="Calibri"/>
        </w:rPr>
        <w:t xml:space="preserve"> por solapamiento co primeiro.</w:t>
      </w:r>
    </w:p>
    <w:p w14:paraId="314F7965" w14:textId="1A28C6E2" w:rsidR="00CC3D20" w:rsidRPr="00227F30" w:rsidRDefault="00DE3C18" w:rsidP="00D46D97">
      <w:pPr>
        <w:pStyle w:val="Default"/>
        <w:spacing w:before="120"/>
        <w:jc w:val="both"/>
        <w:rPr>
          <w:rFonts w:asciiTheme="minorHAnsi" w:hAnsiTheme="minorHAnsi" w:cstheme="minorHAnsi"/>
        </w:rPr>
      </w:pPr>
      <w:r w:rsidRPr="00227F30">
        <w:rPr>
          <w:rFonts w:asciiTheme="minorHAnsi" w:hAnsiTheme="minorHAnsi" w:cstheme="minorHAnsi"/>
          <w:lang w:val="gl-ES"/>
        </w:rPr>
        <w:t>Este</w:t>
      </w:r>
      <w:r w:rsidR="00C847A4">
        <w:rPr>
          <w:rFonts w:asciiTheme="minorHAnsi" w:hAnsiTheme="minorHAnsi" w:cstheme="minorHAnsi"/>
          <w:lang w:val="gl-ES"/>
        </w:rPr>
        <w:t>s</w:t>
      </w:r>
      <w:r w:rsidRPr="00227F30">
        <w:rPr>
          <w:rFonts w:asciiTheme="minorHAnsi" w:hAnsiTheme="minorHAnsi" w:cstheme="minorHAnsi"/>
          <w:lang w:val="gl-ES"/>
        </w:rPr>
        <w:t xml:space="preserve"> feito</w:t>
      </w:r>
      <w:r w:rsidR="00C847A4">
        <w:rPr>
          <w:rFonts w:asciiTheme="minorHAnsi" w:hAnsiTheme="minorHAnsi" w:cstheme="minorHAnsi"/>
          <w:lang w:val="gl-ES"/>
        </w:rPr>
        <w:t>s</w:t>
      </w:r>
      <w:r w:rsidRPr="00227F30">
        <w:rPr>
          <w:rFonts w:asciiTheme="minorHAnsi" w:hAnsiTheme="minorHAnsi" w:cstheme="minorHAnsi"/>
          <w:lang w:val="gl-ES"/>
        </w:rPr>
        <w:t>, podería</w:t>
      </w:r>
      <w:r w:rsidR="00C847A4">
        <w:rPr>
          <w:rFonts w:asciiTheme="minorHAnsi" w:hAnsiTheme="minorHAnsi" w:cstheme="minorHAnsi"/>
          <w:lang w:val="gl-ES"/>
        </w:rPr>
        <w:t>n</w:t>
      </w:r>
      <w:r w:rsidRPr="00227F30">
        <w:rPr>
          <w:rFonts w:asciiTheme="minorHAnsi" w:hAnsiTheme="minorHAnsi" w:cstheme="minorHAnsi"/>
          <w:lang w:val="gl-ES"/>
        </w:rPr>
        <w:t xml:space="preserve"> constituír un caso de</w:t>
      </w:r>
      <w:r w:rsidRPr="00227F30">
        <w:rPr>
          <w:rFonts w:asciiTheme="minorHAnsi" w:hAnsiTheme="minorHAnsi" w:cstheme="minorHAnsi"/>
          <w:b/>
          <w:lang w:val="gl-ES"/>
        </w:rPr>
        <w:t xml:space="preserve"> delito de "Prevaricación administrativa"</w:t>
      </w:r>
      <w:r w:rsidRPr="00227F30">
        <w:rPr>
          <w:rFonts w:asciiTheme="minorHAnsi" w:hAnsiTheme="minorHAnsi" w:cstheme="minorHAnsi"/>
          <w:lang w:val="gl-ES"/>
        </w:rPr>
        <w:t xml:space="preserve"> coa evidente intención de alterar consciente e interesadamente o proceso de información pública destes proxectos </w:t>
      </w:r>
      <w:r w:rsidRPr="00227F30">
        <w:rPr>
          <w:rFonts w:asciiTheme="minorHAnsi" w:hAnsiTheme="minorHAnsi" w:cstheme="minorHAnsi"/>
          <w:b/>
          <w:lang w:val="gl-ES"/>
        </w:rPr>
        <w:t>co obxectivo de facilitar a súa tramitación a costas da cidadanía e en beneficio da mercantil promotora.</w:t>
      </w:r>
    </w:p>
    <w:p w14:paraId="50F0E5D7" w14:textId="3E153BA4" w:rsidR="00CC3D20" w:rsidRDefault="00DE3C18" w:rsidP="00D46D97">
      <w:pPr>
        <w:pStyle w:val="Default"/>
        <w:spacing w:before="120"/>
        <w:jc w:val="both"/>
        <w:rPr>
          <w:rFonts w:asciiTheme="minorHAnsi" w:hAnsiTheme="minorHAnsi" w:cstheme="minorHAnsi"/>
        </w:rPr>
      </w:pPr>
      <w:r w:rsidRPr="00227F30">
        <w:rPr>
          <w:rFonts w:asciiTheme="minorHAnsi" w:hAnsiTheme="minorHAnsi" w:cstheme="minorHAnsi"/>
        </w:rPr>
        <w:lastRenderedPageBreak/>
        <w:t>En este sentido solicitamos</w:t>
      </w:r>
      <w:r w:rsidR="00227F30" w:rsidRPr="00227F30">
        <w:rPr>
          <w:rFonts w:asciiTheme="minorHAnsi" w:hAnsiTheme="minorHAnsi" w:cstheme="minorHAnsi"/>
        </w:rPr>
        <w:t xml:space="preserve"> a identificación do/s funcionario/s ou funcionaria/s que asinaron </w:t>
      </w:r>
      <w:r w:rsidR="00227F30">
        <w:rPr>
          <w:rFonts w:asciiTheme="minorHAnsi" w:hAnsiTheme="minorHAnsi" w:cstheme="minorHAnsi"/>
        </w:rPr>
        <w:t>a admisión a trámite da solicitude en data 1</w:t>
      </w:r>
      <w:r w:rsidR="003B1036">
        <w:rPr>
          <w:rFonts w:asciiTheme="minorHAnsi" w:hAnsiTheme="minorHAnsi" w:cstheme="minorHAnsi"/>
        </w:rPr>
        <w:t>7</w:t>
      </w:r>
      <w:r w:rsidR="00227F30">
        <w:rPr>
          <w:rFonts w:asciiTheme="minorHAnsi" w:hAnsiTheme="minorHAnsi" w:cstheme="minorHAnsi"/>
        </w:rPr>
        <w:t>/</w:t>
      </w:r>
      <w:r w:rsidR="003B1036">
        <w:rPr>
          <w:rFonts w:asciiTheme="minorHAnsi" w:hAnsiTheme="minorHAnsi" w:cstheme="minorHAnsi"/>
        </w:rPr>
        <w:t>02</w:t>
      </w:r>
      <w:r w:rsidR="00227F30">
        <w:rPr>
          <w:rFonts w:asciiTheme="minorHAnsi" w:hAnsiTheme="minorHAnsi" w:cstheme="minorHAnsi"/>
        </w:rPr>
        <w:t>/2020</w:t>
      </w:r>
      <w:r w:rsidR="00C847A4">
        <w:rPr>
          <w:rFonts w:asciiTheme="minorHAnsi" w:hAnsiTheme="minorHAnsi" w:cstheme="minorHAnsi"/>
        </w:rPr>
        <w:t>, así como copia de dita autorización</w:t>
      </w:r>
      <w:r w:rsidR="00F74FDE">
        <w:rPr>
          <w:rFonts w:asciiTheme="minorHAnsi" w:hAnsiTheme="minorHAnsi" w:cstheme="minorHAnsi"/>
        </w:rPr>
        <w:t xml:space="preserve"> en función do artigo 53.b da Lei 39/2015 de  1 de outubro de Procedemento Administrativo en canto aos dereitos do interesado:</w:t>
      </w:r>
    </w:p>
    <w:p w14:paraId="345CF025" w14:textId="77777777" w:rsidR="00F74FDE" w:rsidRPr="00F74FDE" w:rsidRDefault="00F74FDE" w:rsidP="00F74FDE">
      <w:pPr>
        <w:autoSpaceDE w:val="0"/>
        <w:autoSpaceDN w:val="0"/>
        <w:adjustRightInd w:val="0"/>
        <w:spacing w:after="0" w:line="240" w:lineRule="auto"/>
        <w:rPr>
          <w:rFonts w:ascii="Arimo" w:hAnsi="Arimo" w:cs="Arimo"/>
          <w:color w:val="000000"/>
          <w:sz w:val="24"/>
          <w:szCs w:val="24"/>
          <w:lang w:eastAsia="es-ES"/>
        </w:rPr>
      </w:pPr>
    </w:p>
    <w:p w14:paraId="6C758F82" w14:textId="77777777" w:rsidR="00F74FDE" w:rsidRDefault="00F74FDE" w:rsidP="00F74FDE">
      <w:pPr>
        <w:autoSpaceDE w:val="0"/>
        <w:autoSpaceDN w:val="0"/>
        <w:adjustRightInd w:val="0"/>
        <w:spacing w:after="0" w:line="240" w:lineRule="auto"/>
        <w:ind w:left="708"/>
        <w:jc w:val="both"/>
        <w:rPr>
          <w:rFonts w:asciiTheme="minorHAnsi" w:hAnsiTheme="minorHAnsi" w:cstheme="minorHAnsi"/>
          <w:i/>
          <w:iCs/>
          <w:color w:val="000000"/>
          <w:sz w:val="16"/>
          <w:szCs w:val="16"/>
          <w:lang w:eastAsia="es-ES"/>
        </w:rPr>
      </w:pPr>
      <w:r w:rsidRPr="00F74FDE">
        <w:rPr>
          <w:rFonts w:asciiTheme="minorHAnsi" w:hAnsiTheme="minorHAnsi" w:cstheme="minorHAnsi"/>
          <w:b/>
          <w:bCs/>
          <w:color w:val="000000"/>
          <w:sz w:val="16"/>
          <w:szCs w:val="16"/>
          <w:lang w:eastAsia="es-ES"/>
        </w:rPr>
        <w:t xml:space="preserve">Artículo 53. </w:t>
      </w:r>
      <w:r w:rsidRPr="00F74FDE">
        <w:rPr>
          <w:rFonts w:asciiTheme="minorHAnsi" w:hAnsiTheme="minorHAnsi" w:cstheme="minorHAnsi"/>
          <w:i/>
          <w:iCs/>
          <w:color w:val="000000"/>
          <w:sz w:val="16"/>
          <w:szCs w:val="16"/>
          <w:lang w:eastAsia="es-ES"/>
        </w:rPr>
        <w:t>Derechos del interesado en el procedimiento administrativo.</w:t>
      </w:r>
    </w:p>
    <w:p w14:paraId="403B86E1" w14:textId="77777777" w:rsidR="00F74FDE" w:rsidRPr="00F74FDE" w:rsidRDefault="00F74FDE" w:rsidP="00F74FDE">
      <w:pPr>
        <w:autoSpaceDE w:val="0"/>
        <w:autoSpaceDN w:val="0"/>
        <w:adjustRightInd w:val="0"/>
        <w:spacing w:after="0" w:line="240" w:lineRule="auto"/>
        <w:ind w:left="708"/>
        <w:jc w:val="both"/>
        <w:rPr>
          <w:rFonts w:asciiTheme="minorHAnsi" w:hAnsiTheme="minorHAnsi" w:cstheme="minorHAnsi"/>
          <w:color w:val="000000"/>
          <w:sz w:val="16"/>
          <w:szCs w:val="16"/>
          <w:lang w:eastAsia="es-ES"/>
        </w:rPr>
      </w:pPr>
    </w:p>
    <w:p w14:paraId="750F66C9" w14:textId="77777777" w:rsidR="00F74FDE" w:rsidRDefault="00F74FDE" w:rsidP="00F74FDE">
      <w:pPr>
        <w:autoSpaceDE w:val="0"/>
        <w:autoSpaceDN w:val="0"/>
        <w:adjustRightInd w:val="0"/>
        <w:spacing w:after="0" w:line="240" w:lineRule="auto"/>
        <w:ind w:left="708"/>
        <w:jc w:val="both"/>
        <w:rPr>
          <w:rFonts w:asciiTheme="minorHAnsi" w:hAnsiTheme="minorHAnsi" w:cstheme="minorHAnsi"/>
          <w:color w:val="000000"/>
          <w:sz w:val="16"/>
          <w:szCs w:val="16"/>
          <w:lang w:eastAsia="es-ES"/>
        </w:rPr>
      </w:pPr>
      <w:r w:rsidRPr="00F74FDE">
        <w:rPr>
          <w:rFonts w:asciiTheme="minorHAnsi" w:hAnsiTheme="minorHAnsi" w:cstheme="minorHAnsi"/>
          <w:color w:val="000000"/>
          <w:sz w:val="16"/>
          <w:szCs w:val="16"/>
          <w:lang w:eastAsia="es-ES"/>
        </w:rPr>
        <w:t>1. Además del resto de derechos previstos en esta Ley, los interesados en un procedimiento administrativo, tienen los siguientes derechos:</w:t>
      </w:r>
    </w:p>
    <w:p w14:paraId="46B22E32" w14:textId="77777777" w:rsidR="00F74FDE" w:rsidRPr="00F74FDE" w:rsidRDefault="00F74FDE" w:rsidP="00F74FDE">
      <w:pPr>
        <w:autoSpaceDE w:val="0"/>
        <w:autoSpaceDN w:val="0"/>
        <w:adjustRightInd w:val="0"/>
        <w:spacing w:after="0" w:line="240" w:lineRule="auto"/>
        <w:ind w:left="708"/>
        <w:jc w:val="both"/>
        <w:rPr>
          <w:rFonts w:asciiTheme="minorHAnsi" w:hAnsiTheme="minorHAnsi" w:cstheme="minorHAnsi"/>
          <w:color w:val="000000"/>
          <w:sz w:val="16"/>
          <w:szCs w:val="16"/>
          <w:lang w:eastAsia="es-ES"/>
        </w:rPr>
      </w:pPr>
    </w:p>
    <w:p w14:paraId="6AE710E6" w14:textId="77777777" w:rsidR="00F74FDE" w:rsidRPr="00F74FDE" w:rsidRDefault="00F74FDE" w:rsidP="00F74FDE">
      <w:pPr>
        <w:autoSpaceDE w:val="0"/>
        <w:autoSpaceDN w:val="0"/>
        <w:adjustRightInd w:val="0"/>
        <w:spacing w:after="0" w:line="240" w:lineRule="auto"/>
        <w:ind w:left="1416"/>
        <w:jc w:val="both"/>
        <w:rPr>
          <w:rFonts w:asciiTheme="minorHAnsi" w:hAnsiTheme="minorHAnsi" w:cstheme="minorHAnsi"/>
          <w:color w:val="000000"/>
          <w:sz w:val="16"/>
          <w:szCs w:val="16"/>
          <w:lang w:eastAsia="es-ES"/>
        </w:rPr>
      </w:pPr>
      <w:r w:rsidRPr="00F74FDE">
        <w:rPr>
          <w:rFonts w:asciiTheme="minorHAnsi" w:hAnsiTheme="minorHAnsi" w:cstheme="minorHAnsi"/>
          <w:color w:val="000000"/>
          <w:sz w:val="16"/>
          <w:szCs w:val="16"/>
          <w:lang w:eastAsia="es-ES"/>
        </w:rPr>
        <w:t>a) A conocer, en cualquier momento, el estado de la tramitación de los procedimientos en los que tengan la condición de interesados; el sentido del silencio administrativo que corresponda, en caso de que la Administración no dicte ni notifique resolución expresa en plazo; el órgano competente para su instrucción, en su caso, y resolución; y los actos de trámite dictados. Asimismo, también tendrán derecho a acceder y a obtener copia de los documentos contenidos en los citados procedimientos.</w:t>
      </w:r>
    </w:p>
    <w:p w14:paraId="3D802657" w14:textId="77777777" w:rsidR="00F74FDE" w:rsidRPr="00F74FDE" w:rsidRDefault="00F74FDE" w:rsidP="00F74FDE">
      <w:pPr>
        <w:autoSpaceDE w:val="0"/>
        <w:autoSpaceDN w:val="0"/>
        <w:adjustRightInd w:val="0"/>
        <w:spacing w:after="0" w:line="240" w:lineRule="auto"/>
        <w:ind w:left="1416"/>
        <w:jc w:val="both"/>
        <w:rPr>
          <w:rFonts w:asciiTheme="minorHAnsi" w:hAnsiTheme="minorHAnsi" w:cstheme="minorHAnsi"/>
          <w:color w:val="000000"/>
          <w:sz w:val="16"/>
          <w:szCs w:val="16"/>
          <w:lang w:eastAsia="es-ES"/>
        </w:rPr>
      </w:pPr>
      <w:r w:rsidRPr="00F74FDE">
        <w:rPr>
          <w:rFonts w:asciiTheme="minorHAnsi" w:hAnsiTheme="minorHAnsi" w:cstheme="minorHAnsi"/>
          <w:color w:val="000000"/>
          <w:sz w:val="16"/>
          <w:szCs w:val="16"/>
          <w:lang w:eastAsia="es-ES"/>
        </w:rPr>
        <w:t>Quienes se relacionen con las Administraciones Públicas a través de medios electrónicos, tendrán derecho a consultar la información a la que se refiere el párrafo anterior, en el Punto de Acceso General electrónico de la Administración que funcionará como un portal de acceso. Se entenderá cumplida la obligación de la Administración de facilitar copias de los documentos contenidos en los procedimientos mediante la puesta a disposición de las mismas en el Punto de Acceso General electrónico de la Administración competente o en las sedes electrónicas que correspondan.</w:t>
      </w:r>
    </w:p>
    <w:p w14:paraId="349793B1" w14:textId="784BA8E6" w:rsidR="00F74FDE" w:rsidRPr="00F74FDE" w:rsidRDefault="00F74FDE" w:rsidP="00F74FDE">
      <w:pPr>
        <w:pStyle w:val="Default"/>
        <w:spacing w:before="120"/>
        <w:ind w:left="1416"/>
        <w:jc w:val="both"/>
        <w:rPr>
          <w:rFonts w:asciiTheme="minorHAnsi" w:hAnsiTheme="minorHAnsi" w:cstheme="minorHAnsi"/>
          <w:sz w:val="16"/>
          <w:szCs w:val="16"/>
        </w:rPr>
      </w:pPr>
      <w:r w:rsidRPr="00F74FDE">
        <w:rPr>
          <w:rFonts w:asciiTheme="minorHAnsi" w:hAnsiTheme="minorHAnsi" w:cstheme="minorHAnsi"/>
          <w:sz w:val="16"/>
          <w:szCs w:val="16"/>
          <w:lang w:eastAsia="es-ES"/>
        </w:rPr>
        <w:t xml:space="preserve">b) </w:t>
      </w:r>
      <w:r w:rsidRPr="00F74FDE">
        <w:rPr>
          <w:rFonts w:asciiTheme="minorHAnsi" w:hAnsiTheme="minorHAnsi" w:cstheme="minorHAnsi"/>
          <w:b/>
          <w:sz w:val="16"/>
          <w:szCs w:val="16"/>
          <w:lang w:eastAsia="es-ES"/>
        </w:rPr>
        <w:t>A identificar a las autoridades y al personal al servicio de las Administraciones Públicas bajo cuya responsabilidad se tramiten los procedimientos.</w:t>
      </w:r>
    </w:p>
    <w:p w14:paraId="606F3314" w14:textId="77777777" w:rsidR="00DE3D2B" w:rsidRDefault="00DE3D2B" w:rsidP="00D46D97">
      <w:pPr>
        <w:pStyle w:val="Default"/>
        <w:spacing w:before="120"/>
        <w:jc w:val="both"/>
        <w:rPr>
          <w:rFonts w:asciiTheme="minorHAnsi" w:hAnsiTheme="minorHAnsi" w:cstheme="minorHAnsi"/>
        </w:rPr>
      </w:pPr>
    </w:p>
    <w:p w14:paraId="22F1CFB5" w14:textId="0BB10B27" w:rsidR="00B3093A" w:rsidRDefault="00B3093A" w:rsidP="00B3093A">
      <w:pPr>
        <w:pStyle w:val="Default"/>
        <w:shd w:val="clear" w:color="auto" w:fill="C6D9F1"/>
        <w:spacing w:before="120"/>
        <w:ind w:left="1701" w:hanging="1701"/>
        <w:jc w:val="both"/>
        <w:outlineLvl w:val="0"/>
        <w:rPr>
          <w:rFonts w:ascii="Calibri" w:hAnsi="Calibri" w:cs="Calibri"/>
          <w:b/>
          <w:bCs/>
        </w:rPr>
      </w:pPr>
      <w:bookmarkStart w:id="62" w:name="_Toc132510959"/>
      <w:r w:rsidRPr="00BC0247">
        <w:rPr>
          <w:rFonts w:ascii="Calibri" w:hAnsi="Calibri" w:cs="Calibri"/>
          <w:b/>
        </w:rPr>
        <w:t xml:space="preserve">ALEGACIÓN </w:t>
      </w:r>
      <w:r w:rsidR="00554BDF">
        <w:rPr>
          <w:rFonts w:ascii="Calibri" w:hAnsi="Calibri" w:cs="Calibri"/>
          <w:b/>
        </w:rPr>
        <w:t>20</w:t>
      </w:r>
      <w:r w:rsidRPr="00BC0247">
        <w:rPr>
          <w:rFonts w:ascii="Calibri" w:hAnsi="Calibri" w:cs="Calibri"/>
          <w:b/>
        </w:rPr>
        <w:t>.</w:t>
      </w:r>
      <w:r>
        <w:rPr>
          <w:rFonts w:ascii="Calibri" w:hAnsi="Calibri" w:cs="Calibri"/>
          <w:b/>
        </w:rPr>
        <w:t>-</w:t>
      </w:r>
      <w:r>
        <w:rPr>
          <w:rFonts w:ascii="Calibri" w:hAnsi="Calibri" w:cs="Calibri"/>
        </w:rPr>
        <w:t xml:space="preserve"> </w:t>
      </w:r>
      <w:r w:rsidRPr="00B3093A">
        <w:rPr>
          <w:rFonts w:ascii="Calibri" w:hAnsi="Calibri" w:cs="Calibri"/>
          <w:b/>
        </w:rPr>
        <w:t>As infraestructuras de evacuación</w:t>
      </w:r>
      <w:r>
        <w:rPr>
          <w:rFonts w:ascii="Calibri" w:hAnsi="Calibri" w:cs="Calibri"/>
        </w:rPr>
        <w:t xml:space="preserve"> do</w:t>
      </w:r>
      <w:r w:rsidRPr="00FE19B9">
        <w:rPr>
          <w:rFonts w:ascii="Calibri" w:hAnsi="Calibri" w:cs="Calibri"/>
          <w:b/>
        </w:rPr>
        <w:t xml:space="preserve"> </w:t>
      </w:r>
      <w:r>
        <w:rPr>
          <w:rFonts w:ascii="Calibri" w:hAnsi="Calibri" w:cs="Calibri"/>
          <w:b/>
        </w:rPr>
        <w:t>PE</w:t>
      </w:r>
      <w:r w:rsidRPr="009E719D">
        <w:rPr>
          <w:rFonts w:ascii="Calibri" w:hAnsi="Calibri" w:cs="Calibri"/>
          <w:b/>
        </w:rPr>
        <w:t xml:space="preserve"> To</w:t>
      </w:r>
      <w:r>
        <w:rPr>
          <w:rFonts w:ascii="Calibri" w:hAnsi="Calibri" w:cs="Calibri"/>
          <w:b/>
        </w:rPr>
        <w:t>r</w:t>
      </w:r>
      <w:r w:rsidRPr="009E719D">
        <w:rPr>
          <w:rFonts w:ascii="Calibri" w:hAnsi="Calibri" w:cs="Calibri"/>
          <w:b/>
        </w:rPr>
        <w:t>roña</w:t>
      </w:r>
      <w:r>
        <w:rPr>
          <w:rFonts w:ascii="Calibri" w:hAnsi="Calibri" w:cs="Calibri"/>
          <w:b/>
        </w:rPr>
        <w:t xml:space="preserve"> I son comúns con outros PE proxectados na zona, o que reflexa unha fragmentación fraudulenta de todos eses proxectos.</w:t>
      </w:r>
      <w:bookmarkEnd w:id="62"/>
    </w:p>
    <w:p w14:paraId="191532AA" w14:textId="307DEFA5" w:rsidR="00B3093A" w:rsidRDefault="00B3093A" w:rsidP="00D46D97">
      <w:pPr>
        <w:pStyle w:val="Default"/>
        <w:spacing w:before="120"/>
        <w:jc w:val="both"/>
        <w:rPr>
          <w:rFonts w:asciiTheme="minorHAnsi" w:hAnsiTheme="minorHAnsi" w:cstheme="minorHAnsi"/>
        </w:rPr>
      </w:pPr>
      <w:r>
        <w:rPr>
          <w:rFonts w:asciiTheme="minorHAnsi" w:hAnsiTheme="minorHAnsi" w:cstheme="minorHAnsi"/>
        </w:rPr>
        <w:t>Ainda que a promotora presenta o proxecto como un PE independente, o certo é que a infraestructura de evacuación sería común co PE Albariño I (que ten DIA desfavorable) e o PE Toroña (pendente de obter DIA) que compartirían a subestación de Barrantes como punto de evacuación eléctrica, que quedou establecido para o PE Albariño I xa que foi o primeiro en tramitarse.</w:t>
      </w:r>
    </w:p>
    <w:p w14:paraId="6A5F6BCC" w14:textId="1E8B6680" w:rsidR="00B3093A" w:rsidRDefault="00B3093A" w:rsidP="00D46D97">
      <w:pPr>
        <w:pStyle w:val="Default"/>
        <w:spacing w:before="120"/>
        <w:jc w:val="both"/>
        <w:rPr>
          <w:rFonts w:asciiTheme="minorHAnsi" w:hAnsiTheme="minorHAnsi" w:cstheme="minorHAnsi"/>
        </w:rPr>
      </w:pPr>
      <w:r>
        <w:rPr>
          <w:rFonts w:asciiTheme="minorHAnsi" w:hAnsiTheme="minorHAnsi" w:cstheme="minorHAnsi"/>
        </w:rPr>
        <w:t xml:space="preserve">Esta fragmentación ilegal, impide que se poidan avaliar correctamente os efectos </w:t>
      </w:r>
      <w:r w:rsidR="00083447">
        <w:rPr>
          <w:rFonts w:asciiTheme="minorHAnsi" w:hAnsiTheme="minorHAnsi" w:cstheme="minorHAnsi"/>
        </w:rPr>
        <w:t xml:space="preserve">sinérxicos e </w:t>
      </w:r>
      <w:r>
        <w:rPr>
          <w:rFonts w:asciiTheme="minorHAnsi" w:hAnsiTheme="minorHAnsi" w:cstheme="minorHAnsi"/>
        </w:rPr>
        <w:t>acumulativos</w:t>
      </w:r>
      <w:r w:rsidR="00083447">
        <w:rPr>
          <w:rFonts w:asciiTheme="minorHAnsi" w:hAnsiTheme="minorHAnsi" w:cstheme="minorHAnsi"/>
        </w:rPr>
        <w:t>, xa que a información pública aportada pode non ser certa no caso de que se compartira dita subestación.</w:t>
      </w:r>
    </w:p>
    <w:p w14:paraId="571112DB" w14:textId="77777777" w:rsidR="00B3093A" w:rsidRDefault="00B3093A" w:rsidP="00D46D97">
      <w:pPr>
        <w:pStyle w:val="Default"/>
        <w:spacing w:before="120"/>
        <w:jc w:val="both"/>
        <w:rPr>
          <w:rFonts w:asciiTheme="minorHAnsi" w:hAnsiTheme="minorHAnsi" w:cstheme="minorHAnsi"/>
        </w:rPr>
      </w:pPr>
    </w:p>
    <w:p w14:paraId="62F2F4F9" w14:textId="4900D4FC" w:rsidR="00DE3D2B" w:rsidRDefault="00DE3D2B" w:rsidP="00DE3D2B">
      <w:pPr>
        <w:pStyle w:val="Default"/>
        <w:shd w:val="clear" w:color="auto" w:fill="C6D9F1"/>
        <w:spacing w:before="120"/>
        <w:ind w:left="1701" w:hanging="1701"/>
        <w:jc w:val="both"/>
        <w:outlineLvl w:val="0"/>
        <w:rPr>
          <w:rFonts w:ascii="Calibri" w:hAnsi="Calibri" w:cs="Calibri"/>
          <w:b/>
          <w:bCs/>
        </w:rPr>
      </w:pPr>
      <w:bookmarkStart w:id="63" w:name="_Toc132510960"/>
      <w:r w:rsidRPr="00BC0247">
        <w:rPr>
          <w:rFonts w:ascii="Calibri" w:hAnsi="Calibri" w:cs="Calibri"/>
          <w:b/>
        </w:rPr>
        <w:t xml:space="preserve">ALEGACIÓN </w:t>
      </w:r>
      <w:r w:rsidR="00083447">
        <w:rPr>
          <w:rFonts w:ascii="Calibri" w:hAnsi="Calibri" w:cs="Calibri"/>
          <w:b/>
        </w:rPr>
        <w:t>2</w:t>
      </w:r>
      <w:r w:rsidR="00554BDF">
        <w:rPr>
          <w:rFonts w:ascii="Calibri" w:hAnsi="Calibri" w:cs="Calibri"/>
          <w:b/>
        </w:rPr>
        <w:t>1</w:t>
      </w:r>
      <w:r w:rsidRPr="00BC0247">
        <w:rPr>
          <w:rFonts w:ascii="Calibri" w:hAnsi="Calibri" w:cs="Calibri"/>
          <w:b/>
        </w:rPr>
        <w:t>.</w:t>
      </w:r>
      <w:r>
        <w:rPr>
          <w:rFonts w:ascii="Calibri" w:hAnsi="Calibri" w:cs="Calibri"/>
          <w:b/>
        </w:rPr>
        <w:t>-</w:t>
      </w:r>
      <w:r>
        <w:rPr>
          <w:rFonts w:ascii="Calibri" w:hAnsi="Calibri" w:cs="Calibri"/>
        </w:rPr>
        <w:t xml:space="preserve"> </w:t>
      </w:r>
      <w:r>
        <w:rPr>
          <w:rFonts w:ascii="Calibri" w:hAnsi="Calibri" w:cs="Calibri"/>
          <w:b/>
          <w:bCs/>
        </w:rPr>
        <w:t xml:space="preserve">O </w:t>
      </w:r>
      <w:r>
        <w:rPr>
          <w:rFonts w:ascii="Calibri" w:hAnsi="Calibri" w:cs="Calibri"/>
          <w:b/>
          <w:bCs/>
          <w:spacing w:val="-1"/>
        </w:rPr>
        <w:t>p</w:t>
      </w:r>
      <w:r>
        <w:rPr>
          <w:rFonts w:ascii="Calibri" w:hAnsi="Calibri" w:cs="Calibri"/>
          <w:b/>
          <w:bCs/>
          <w:spacing w:val="-2"/>
        </w:rPr>
        <w:t>r</w:t>
      </w:r>
      <w:r>
        <w:rPr>
          <w:rFonts w:ascii="Calibri" w:hAnsi="Calibri" w:cs="Calibri"/>
          <w:b/>
          <w:bCs/>
          <w:spacing w:val="-6"/>
        </w:rPr>
        <w:t>o</w:t>
      </w:r>
      <w:r>
        <w:rPr>
          <w:rFonts w:ascii="Calibri" w:hAnsi="Calibri" w:cs="Calibri"/>
          <w:b/>
          <w:bCs/>
          <w:spacing w:val="-5"/>
        </w:rPr>
        <w:t>x</w:t>
      </w:r>
      <w:r>
        <w:rPr>
          <w:rFonts w:ascii="Calibri" w:hAnsi="Calibri" w:cs="Calibri"/>
          <w:b/>
          <w:bCs/>
          <w:spacing w:val="-1"/>
        </w:rPr>
        <w:t>e</w:t>
      </w:r>
      <w:r>
        <w:rPr>
          <w:rFonts w:ascii="Calibri" w:hAnsi="Calibri" w:cs="Calibri"/>
          <w:b/>
          <w:bCs/>
          <w:spacing w:val="1"/>
        </w:rPr>
        <w:t>c</w:t>
      </w:r>
      <w:r>
        <w:rPr>
          <w:rFonts w:ascii="Calibri" w:hAnsi="Calibri" w:cs="Calibri"/>
          <w:b/>
          <w:bCs/>
          <w:spacing w:val="-2"/>
        </w:rPr>
        <w:t>t</w:t>
      </w:r>
      <w:r>
        <w:rPr>
          <w:rFonts w:ascii="Calibri" w:hAnsi="Calibri" w:cs="Calibri"/>
          <w:b/>
          <w:bCs/>
        </w:rPr>
        <w:t>o</w:t>
      </w:r>
      <w:r>
        <w:rPr>
          <w:rFonts w:ascii="Calibri" w:hAnsi="Calibri" w:cs="Calibri"/>
          <w:b/>
          <w:bCs/>
          <w:spacing w:val="-1"/>
        </w:rPr>
        <w:t xml:space="preserve"> </w:t>
      </w:r>
      <w:r>
        <w:rPr>
          <w:rFonts w:ascii="Calibri" w:hAnsi="Calibri" w:cs="Calibri"/>
          <w:b/>
          <w:bCs/>
          <w:spacing w:val="1"/>
        </w:rPr>
        <w:t>I</w:t>
      </w:r>
      <w:r>
        <w:rPr>
          <w:rFonts w:ascii="Calibri" w:hAnsi="Calibri" w:cs="Calibri"/>
          <w:b/>
          <w:bCs/>
          <w:spacing w:val="-1"/>
        </w:rPr>
        <w:t>ndu</w:t>
      </w:r>
      <w:r>
        <w:rPr>
          <w:rFonts w:ascii="Calibri" w:hAnsi="Calibri" w:cs="Calibri"/>
          <w:b/>
          <w:bCs/>
          <w:spacing w:val="-2"/>
        </w:rPr>
        <w:t>st</w:t>
      </w:r>
      <w:r>
        <w:rPr>
          <w:rFonts w:ascii="Calibri" w:hAnsi="Calibri" w:cs="Calibri"/>
          <w:b/>
          <w:bCs/>
          <w:spacing w:val="1"/>
        </w:rPr>
        <w:t>ri</w:t>
      </w:r>
      <w:r>
        <w:rPr>
          <w:rFonts w:ascii="Calibri" w:hAnsi="Calibri" w:cs="Calibri"/>
          <w:b/>
          <w:bCs/>
          <w:spacing w:val="-3"/>
        </w:rPr>
        <w:t>a</w:t>
      </w:r>
      <w:r>
        <w:rPr>
          <w:rFonts w:ascii="Calibri" w:hAnsi="Calibri" w:cs="Calibri"/>
          <w:b/>
          <w:bCs/>
        </w:rPr>
        <w:t>l</w:t>
      </w:r>
      <w:r>
        <w:rPr>
          <w:rFonts w:ascii="Calibri" w:hAnsi="Calibri" w:cs="Calibri"/>
          <w:b/>
          <w:bCs/>
          <w:spacing w:val="1"/>
        </w:rPr>
        <w:t xml:space="preserve"> </w:t>
      </w:r>
      <w:r>
        <w:rPr>
          <w:rFonts w:ascii="Calibri" w:hAnsi="Calibri" w:cs="Calibri"/>
          <w:b/>
          <w:bCs/>
        </w:rPr>
        <w:t>"</w:t>
      </w:r>
      <w:r>
        <w:rPr>
          <w:rFonts w:ascii="Calibri" w:hAnsi="Calibri" w:cs="Calibri"/>
          <w:b/>
          <w:bCs/>
          <w:spacing w:val="-5"/>
        </w:rPr>
        <w:t>P</w:t>
      </w:r>
      <w:r>
        <w:rPr>
          <w:rFonts w:ascii="Calibri" w:hAnsi="Calibri" w:cs="Calibri"/>
          <w:b/>
          <w:bCs/>
        </w:rPr>
        <w:t>a</w:t>
      </w:r>
      <w:r>
        <w:rPr>
          <w:rFonts w:ascii="Calibri" w:hAnsi="Calibri" w:cs="Calibri"/>
          <w:b/>
          <w:bCs/>
          <w:spacing w:val="-4"/>
        </w:rPr>
        <w:t>r</w:t>
      </w:r>
      <w:r>
        <w:rPr>
          <w:rFonts w:ascii="Calibri" w:hAnsi="Calibri" w:cs="Calibri"/>
          <w:b/>
          <w:bCs/>
          <w:spacing w:val="-1"/>
        </w:rPr>
        <w:t>qu</w:t>
      </w:r>
      <w:r>
        <w:rPr>
          <w:rFonts w:ascii="Calibri" w:hAnsi="Calibri" w:cs="Calibri"/>
          <w:b/>
          <w:bCs/>
        </w:rPr>
        <w:t>e</w:t>
      </w:r>
      <w:r>
        <w:rPr>
          <w:rFonts w:ascii="Calibri" w:hAnsi="Calibri" w:cs="Calibri"/>
          <w:b/>
          <w:bCs/>
          <w:spacing w:val="-1"/>
        </w:rPr>
        <w:t xml:space="preserve"> </w:t>
      </w:r>
      <w:r>
        <w:rPr>
          <w:rFonts w:ascii="Calibri" w:hAnsi="Calibri" w:cs="Calibri"/>
          <w:b/>
          <w:bCs/>
          <w:spacing w:val="-4"/>
        </w:rPr>
        <w:t>E</w:t>
      </w:r>
      <w:r>
        <w:rPr>
          <w:rFonts w:ascii="Calibri" w:hAnsi="Calibri" w:cs="Calibri"/>
          <w:b/>
          <w:bCs/>
          <w:spacing w:val="-1"/>
        </w:rPr>
        <w:t>ó</w:t>
      </w:r>
      <w:r>
        <w:rPr>
          <w:rFonts w:ascii="Calibri" w:hAnsi="Calibri" w:cs="Calibri"/>
          <w:b/>
          <w:bCs/>
          <w:spacing w:val="1"/>
        </w:rPr>
        <w:t>lic</w:t>
      </w:r>
      <w:r>
        <w:rPr>
          <w:rFonts w:ascii="Calibri" w:hAnsi="Calibri" w:cs="Calibri"/>
          <w:b/>
          <w:bCs/>
        </w:rPr>
        <w:t>o</w:t>
      </w:r>
      <w:r>
        <w:rPr>
          <w:rFonts w:ascii="Calibri" w:hAnsi="Calibri" w:cs="Calibri"/>
          <w:b/>
          <w:bCs/>
          <w:spacing w:val="-3"/>
        </w:rPr>
        <w:t xml:space="preserve"> </w:t>
      </w:r>
      <w:r>
        <w:rPr>
          <w:rFonts w:ascii="Calibri" w:hAnsi="Calibri" w:cs="Calibri"/>
          <w:b/>
          <w:bCs/>
          <w:spacing w:val="-18"/>
        </w:rPr>
        <w:t>T</w:t>
      </w:r>
      <w:r>
        <w:rPr>
          <w:rFonts w:ascii="Calibri" w:hAnsi="Calibri" w:cs="Calibri"/>
          <w:b/>
          <w:bCs/>
          <w:spacing w:val="-1"/>
        </w:rPr>
        <w:t>o</w:t>
      </w:r>
      <w:r>
        <w:rPr>
          <w:rFonts w:ascii="Calibri" w:hAnsi="Calibri" w:cs="Calibri"/>
          <w:b/>
          <w:bCs/>
          <w:spacing w:val="-2"/>
        </w:rPr>
        <w:t>r</w:t>
      </w:r>
      <w:r w:rsidR="003B1036">
        <w:rPr>
          <w:rFonts w:ascii="Calibri" w:hAnsi="Calibri" w:cs="Calibri"/>
          <w:b/>
          <w:bCs/>
          <w:spacing w:val="-2"/>
        </w:rPr>
        <w:t>r</w:t>
      </w:r>
      <w:r>
        <w:rPr>
          <w:rFonts w:ascii="Calibri" w:hAnsi="Calibri" w:cs="Calibri"/>
          <w:b/>
          <w:bCs/>
          <w:spacing w:val="-1"/>
        </w:rPr>
        <w:t>oña</w:t>
      </w:r>
      <w:r w:rsidR="003B1036">
        <w:rPr>
          <w:rFonts w:ascii="Calibri" w:hAnsi="Calibri" w:cs="Calibri"/>
          <w:b/>
          <w:bCs/>
          <w:spacing w:val="-1"/>
        </w:rPr>
        <w:t xml:space="preserve"> I</w:t>
      </w:r>
      <w:r>
        <w:rPr>
          <w:rFonts w:ascii="Calibri" w:hAnsi="Calibri" w:cs="Calibri"/>
          <w:b/>
          <w:bCs/>
        </w:rPr>
        <w:t>"</w:t>
      </w:r>
      <w:r>
        <w:rPr>
          <w:rFonts w:ascii="Calibri" w:hAnsi="Calibri" w:cs="Calibri"/>
          <w:b/>
          <w:bCs/>
          <w:spacing w:val="-1"/>
        </w:rPr>
        <w:t xml:space="preserve"> </w:t>
      </w:r>
      <w:r>
        <w:rPr>
          <w:rFonts w:ascii="Calibri" w:hAnsi="Calibri" w:cs="Calibri"/>
          <w:b/>
          <w:bCs/>
          <w:spacing w:val="1"/>
        </w:rPr>
        <w:t>(</w:t>
      </w:r>
      <w:r>
        <w:rPr>
          <w:rFonts w:ascii="Calibri" w:hAnsi="Calibri" w:cs="Calibri"/>
          <w:b/>
          <w:bCs/>
          <w:spacing w:val="-3"/>
        </w:rPr>
        <w:t>e</w:t>
      </w:r>
      <w:r>
        <w:rPr>
          <w:rFonts w:ascii="Calibri" w:hAnsi="Calibri" w:cs="Calibri"/>
          <w:b/>
          <w:bCs/>
        </w:rPr>
        <w:t>x</w:t>
      </w:r>
      <w:r>
        <w:rPr>
          <w:rFonts w:ascii="Calibri" w:hAnsi="Calibri" w:cs="Calibri"/>
          <w:b/>
          <w:bCs/>
          <w:spacing w:val="-2"/>
        </w:rPr>
        <w:t>p</w:t>
      </w:r>
      <w:r>
        <w:rPr>
          <w:rFonts w:ascii="Calibri" w:hAnsi="Calibri" w:cs="Calibri"/>
          <w:b/>
          <w:bCs/>
          <w:spacing w:val="-1"/>
        </w:rPr>
        <w:t>edie</w:t>
      </w:r>
      <w:r>
        <w:rPr>
          <w:rFonts w:ascii="Calibri" w:hAnsi="Calibri" w:cs="Calibri"/>
          <w:b/>
          <w:bCs/>
          <w:spacing w:val="-3"/>
        </w:rPr>
        <w:t>n</w:t>
      </w:r>
      <w:r>
        <w:rPr>
          <w:rFonts w:ascii="Calibri" w:hAnsi="Calibri" w:cs="Calibri"/>
          <w:b/>
          <w:bCs/>
          <w:spacing w:val="-2"/>
        </w:rPr>
        <w:t>t</w:t>
      </w:r>
      <w:r>
        <w:rPr>
          <w:rFonts w:ascii="Calibri" w:hAnsi="Calibri" w:cs="Calibri"/>
          <w:b/>
          <w:bCs/>
        </w:rPr>
        <w:t>e</w:t>
      </w:r>
      <w:r>
        <w:rPr>
          <w:rFonts w:ascii="Calibri" w:hAnsi="Calibri" w:cs="Calibri"/>
          <w:b/>
          <w:bCs/>
          <w:spacing w:val="-1"/>
        </w:rPr>
        <w:t xml:space="preserve"> </w:t>
      </w:r>
      <w:r w:rsidR="00D6334C" w:rsidRPr="00B33A1D">
        <w:rPr>
          <w:rFonts w:asciiTheme="minorHAnsi" w:hAnsiTheme="minorHAnsi" w:cstheme="minorHAnsi"/>
          <w:b/>
          <w:i/>
          <w:iCs/>
          <w:lang w:eastAsia="es-ES"/>
        </w:rPr>
        <w:t>IN408A 2020/24</w:t>
      </w:r>
      <w:r>
        <w:rPr>
          <w:rFonts w:ascii="Calibri" w:hAnsi="Calibri" w:cs="Calibri"/>
          <w:b/>
          <w:bCs/>
        </w:rPr>
        <w:t>)</w:t>
      </w:r>
      <w:r>
        <w:rPr>
          <w:rFonts w:ascii="Calibri" w:hAnsi="Calibri" w:cs="Calibri"/>
          <w:b/>
          <w:bCs/>
          <w:spacing w:val="-1"/>
        </w:rPr>
        <w:t xml:space="preserve"> N</w:t>
      </w:r>
      <w:r>
        <w:rPr>
          <w:rFonts w:ascii="Calibri" w:hAnsi="Calibri" w:cs="Calibri"/>
          <w:b/>
          <w:bCs/>
        </w:rPr>
        <w:t>ON</w:t>
      </w:r>
      <w:r>
        <w:rPr>
          <w:rFonts w:ascii="Calibri" w:hAnsi="Calibri" w:cs="Calibri"/>
          <w:b/>
          <w:bCs/>
          <w:spacing w:val="1"/>
        </w:rPr>
        <w:t xml:space="preserve"> </w:t>
      </w:r>
      <w:r>
        <w:rPr>
          <w:rFonts w:ascii="Calibri" w:hAnsi="Calibri" w:cs="Calibri"/>
          <w:b/>
          <w:bCs/>
          <w:spacing w:val="-2"/>
        </w:rPr>
        <w:t>X</w:t>
      </w:r>
      <w:r>
        <w:rPr>
          <w:rFonts w:ascii="Calibri" w:hAnsi="Calibri" w:cs="Calibri"/>
          <w:b/>
          <w:bCs/>
        </w:rPr>
        <w:t>U</w:t>
      </w:r>
      <w:r>
        <w:rPr>
          <w:rFonts w:ascii="Calibri" w:hAnsi="Calibri" w:cs="Calibri"/>
          <w:b/>
          <w:bCs/>
          <w:spacing w:val="-4"/>
        </w:rPr>
        <w:t>S</w:t>
      </w:r>
      <w:r>
        <w:rPr>
          <w:rFonts w:ascii="Calibri" w:hAnsi="Calibri" w:cs="Calibri"/>
          <w:b/>
          <w:bCs/>
          <w:spacing w:val="1"/>
        </w:rPr>
        <w:t>TI</w:t>
      </w:r>
      <w:r>
        <w:rPr>
          <w:rFonts w:ascii="Calibri" w:hAnsi="Calibri" w:cs="Calibri"/>
          <w:b/>
          <w:bCs/>
          <w:spacing w:val="-3"/>
        </w:rPr>
        <w:t>F</w:t>
      </w:r>
      <w:r>
        <w:rPr>
          <w:rFonts w:ascii="Calibri" w:hAnsi="Calibri" w:cs="Calibri"/>
          <w:b/>
          <w:bCs/>
          <w:spacing w:val="1"/>
        </w:rPr>
        <w:t>I</w:t>
      </w:r>
      <w:r>
        <w:rPr>
          <w:rFonts w:ascii="Calibri" w:hAnsi="Calibri" w:cs="Calibri"/>
          <w:b/>
          <w:bCs/>
          <w:spacing w:val="-2"/>
        </w:rPr>
        <w:t>C</w:t>
      </w:r>
      <w:r>
        <w:rPr>
          <w:rFonts w:ascii="Calibri" w:hAnsi="Calibri" w:cs="Calibri"/>
          <w:b/>
          <w:bCs/>
        </w:rPr>
        <w:t>A</w:t>
      </w:r>
      <w:r>
        <w:rPr>
          <w:rFonts w:ascii="Calibri" w:hAnsi="Calibri" w:cs="Calibri"/>
          <w:b/>
          <w:bCs/>
          <w:spacing w:val="1"/>
        </w:rPr>
        <w:t xml:space="preserve"> </w:t>
      </w:r>
      <w:r>
        <w:rPr>
          <w:rFonts w:ascii="Calibri" w:hAnsi="Calibri" w:cs="Calibri"/>
          <w:b/>
          <w:bCs/>
        </w:rPr>
        <w:t xml:space="preserve">a </w:t>
      </w:r>
      <w:r>
        <w:rPr>
          <w:rFonts w:ascii="Calibri" w:hAnsi="Calibri" w:cs="Calibri"/>
          <w:b/>
          <w:bCs/>
          <w:spacing w:val="-1"/>
        </w:rPr>
        <w:t>ne</w:t>
      </w:r>
      <w:r>
        <w:rPr>
          <w:rFonts w:ascii="Calibri" w:hAnsi="Calibri" w:cs="Calibri"/>
          <w:b/>
          <w:bCs/>
          <w:spacing w:val="1"/>
        </w:rPr>
        <w:t>c</w:t>
      </w:r>
      <w:r>
        <w:rPr>
          <w:rFonts w:ascii="Calibri" w:hAnsi="Calibri" w:cs="Calibri"/>
          <w:b/>
          <w:bCs/>
          <w:spacing w:val="-1"/>
        </w:rPr>
        <w:t>e</w:t>
      </w:r>
      <w:r>
        <w:rPr>
          <w:rFonts w:ascii="Calibri" w:hAnsi="Calibri" w:cs="Calibri"/>
          <w:b/>
          <w:bCs/>
        </w:rPr>
        <w:t>s</w:t>
      </w:r>
      <w:r>
        <w:rPr>
          <w:rFonts w:ascii="Calibri" w:hAnsi="Calibri" w:cs="Calibri"/>
          <w:b/>
          <w:bCs/>
          <w:spacing w:val="1"/>
        </w:rPr>
        <w:t>i</w:t>
      </w:r>
      <w:r>
        <w:rPr>
          <w:rFonts w:ascii="Calibri" w:hAnsi="Calibri" w:cs="Calibri"/>
          <w:b/>
          <w:bCs/>
          <w:spacing w:val="-1"/>
        </w:rPr>
        <w:t>dad</w:t>
      </w:r>
      <w:r>
        <w:rPr>
          <w:rFonts w:ascii="Calibri" w:hAnsi="Calibri" w:cs="Calibri"/>
          <w:b/>
          <w:bCs/>
        </w:rPr>
        <w:t>e</w:t>
      </w:r>
      <w:r>
        <w:rPr>
          <w:rFonts w:ascii="Calibri" w:hAnsi="Calibri" w:cs="Calibri"/>
          <w:b/>
          <w:bCs/>
          <w:spacing w:val="-1"/>
        </w:rPr>
        <w:t xml:space="preserve"> </w:t>
      </w:r>
      <w:r>
        <w:rPr>
          <w:rFonts w:ascii="Calibri" w:hAnsi="Calibri" w:cs="Calibri"/>
          <w:b/>
          <w:bCs/>
        </w:rPr>
        <w:t>da</w:t>
      </w:r>
      <w:r>
        <w:rPr>
          <w:rFonts w:ascii="Calibri" w:hAnsi="Calibri" w:cs="Calibri"/>
          <w:b/>
          <w:bCs/>
          <w:spacing w:val="-1"/>
        </w:rPr>
        <w:t xml:space="preserve"> </w:t>
      </w:r>
      <w:r>
        <w:rPr>
          <w:rFonts w:ascii="Calibri" w:hAnsi="Calibri" w:cs="Calibri"/>
          <w:b/>
          <w:bCs/>
        </w:rPr>
        <w:t>d</w:t>
      </w:r>
      <w:r>
        <w:rPr>
          <w:rFonts w:ascii="Calibri" w:hAnsi="Calibri" w:cs="Calibri"/>
          <w:b/>
          <w:bCs/>
          <w:spacing w:val="-1"/>
        </w:rPr>
        <w:t>e</w:t>
      </w:r>
      <w:r>
        <w:rPr>
          <w:rFonts w:ascii="Calibri" w:hAnsi="Calibri" w:cs="Calibri"/>
          <w:b/>
          <w:bCs/>
        </w:rPr>
        <w:t>smesu</w:t>
      </w:r>
      <w:r>
        <w:rPr>
          <w:rFonts w:ascii="Calibri" w:hAnsi="Calibri" w:cs="Calibri"/>
          <w:b/>
          <w:bCs/>
          <w:spacing w:val="-5"/>
        </w:rPr>
        <w:t>r</w:t>
      </w:r>
      <w:r>
        <w:rPr>
          <w:rFonts w:ascii="Calibri" w:hAnsi="Calibri" w:cs="Calibri"/>
          <w:b/>
          <w:bCs/>
          <w:spacing w:val="-3"/>
        </w:rPr>
        <w:t>a</w:t>
      </w:r>
      <w:r>
        <w:rPr>
          <w:rFonts w:ascii="Calibri" w:hAnsi="Calibri" w:cs="Calibri"/>
          <w:b/>
          <w:bCs/>
          <w:spacing w:val="-1"/>
        </w:rPr>
        <w:t>d</w:t>
      </w:r>
      <w:r>
        <w:rPr>
          <w:rFonts w:ascii="Calibri" w:hAnsi="Calibri" w:cs="Calibri"/>
          <w:b/>
          <w:bCs/>
        </w:rPr>
        <w:t>a</w:t>
      </w:r>
      <w:r>
        <w:rPr>
          <w:rFonts w:ascii="Calibri" w:hAnsi="Calibri" w:cs="Calibri"/>
          <w:b/>
          <w:bCs/>
          <w:spacing w:val="1"/>
        </w:rPr>
        <w:t xml:space="preserve"> </w:t>
      </w:r>
      <w:r>
        <w:rPr>
          <w:rFonts w:ascii="Calibri" w:hAnsi="Calibri" w:cs="Calibri"/>
          <w:b/>
          <w:bCs/>
          <w:spacing w:val="-1"/>
        </w:rPr>
        <w:t>o</w:t>
      </w:r>
      <w:r>
        <w:rPr>
          <w:rFonts w:ascii="Calibri" w:hAnsi="Calibri" w:cs="Calibri"/>
          <w:b/>
          <w:bCs/>
          <w:spacing w:val="1"/>
        </w:rPr>
        <w:t>c</w:t>
      </w:r>
      <w:r>
        <w:rPr>
          <w:rFonts w:ascii="Calibri" w:hAnsi="Calibri" w:cs="Calibri"/>
          <w:b/>
          <w:bCs/>
          <w:spacing w:val="-1"/>
        </w:rPr>
        <w:t>upa</w:t>
      </w:r>
      <w:r>
        <w:rPr>
          <w:rFonts w:ascii="Calibri" w:hAnsi="Calibri" w:cs="Calibri"/>
          <w:b/>
          <w:bCs/>
          <w:spacing w:val="1"/>
        </w:rPr>
        <w:t>ci</w:t>
      </w:r>
      <w:r>
        <w:rPr>
          <w:rFonts w:ascii="Calibri" w:hAnsi="Calibri" w:cs="Calibri"/>
          <w:b/>
          <w:bCs/>
          <w:spacing w:val="-1"/>
        </w:rPr>
        <w:t>ó</w:t>
      </w:r>
      <w:r>
        <w:rPr>
          <w:rFonts w:ascii="Calibri" w:hAnsi="Calibri" w:cs="Calibri"/>
          <w:b/>
          <w:bCs/>
        </w:rPr>
        <w:t>n</w:t>
      </w:r>
      <w:r>
        <w:rPr>
          <w:rFonts w:ascii="Calibri" w:hAnsi="Calibri" w:cs="Calibri"/>
          <w:b/>
          <w:bCs/>
          <w:spacing w:val="-1"/>
        </w:rPr>
        <w:t xml:space="preserve"> </w:t>
      </w:r>
      <w:r>
        <w:rPr>
          <w:rFonts w:ascii="Calibri" w:hAnsi="Calibri" w:cs="Calibri"/>
          <w:b/>
          <w:bCs/>
        </w:rPr>
        <w:t>d</w:t>
      </w:r>
      <w:r>
        <w:rPr>
          <w:rFonts w:ascii="Calibri" w:hAnsi="Calibri" w:cs="Calibri"/>
          <w:b/>
          <w:bCs/>
          <w:spacing w:val="-1"/>
        </w:rPr>
        <w:t>unh</w:t>
      </w:r>
      <w:r>
        <w:rPr>
          <w:rFonts w:ascii="Calibri" w:hAnsi="Calibri" w:cs="Calibri"/>
          <w:b/>
          <w:bCs/>
        </w:rPr>
        <w:t>a</w:t>
      </w:r>
      <w:r>
        <w:rPr>
          <w:rFonts w:ascii="Calibri" w:hAnsi="Calibri" w:cs="Calibri"/>
          <w:b/>
          <w:bCs/>
          <w:spacing w:val="-1"/>
        </w:rPr>
        <w:t xml:space="preserve"> </w:t>
      </w:r>
      <w:r>
        <w:rPr>
          <w:rFonts w:ascii="Calibri" w:hAnsi="Calibri" w:cs="Calibri"/>
          <w:b/>
          <w:bCs/>
          <w:spacing w:val="1"/>
        </w:rPr>
        <w:t>s</w:t>
      </w:r>
      <w:r>
        <w:rPr>
          <w:rFonts w:ascii="Calibri" w:hAnsi="Calibri" w:cs="Calibri"/>
          <w:b/>
          <w:bCs/>
          <w:spacing w:val="-1"/>
        </w:rPr>
        <w:t>upe</w:t>
      </w:r>
      <w:r>
        <w:rPr>
          <w:rFonts w:ascii="Calibri" w:hAnsi="Calibri" w:cs="Calibri"/>
          <w:b/>
          <w:bCs/>
          <w:spacing w:val="1"/>
        </w:rPr>
        <w:t>r</w:t>
      </w:r>
      <w:r>
        <w:rPr>
          <w:rFonts w:ascii="Calibri" w:hAnsi="Calibri" w:cs="Calibri"/>
          <w:b/>
          <w:bCs/>
        </w:rPr>
        <w:t>fi</w:t>
      </w:r>
      <w:r>
        <w:rPr>
          <w:rFonts w:ascii="Calibri" w:hAnsi="Calibri" w:cs="Calibri"/>
          <w:b/>
          <w:bCs/>
          <w:spacing w:val="-1"/>
        </w:rPr>
        <w:t>c</w:t>
      </w:r>
      <w:r>
        <w:rPr>
          <w:rFonts w:ascii="Calibri" w:hAnsi="Calibri" w:cs="Calibri"/>
          <w:b/>
          <w:bCs/>
          <w:spacing w:val="1"/>
        </w:rPr>
        <w:t>i</w:t>
      </w:r>
      <w:r>
        <w:rPr>
          <w:rFonts w:ascii="Calibri" w:hAnsi="Calibri" w:cs="Calibri"/>
          <w:b/>
          <w:bCs/>
        </w:rPr>
        <w:t>e</w:t>
      </w:r>
      <w:r>
        <w:rPr>
          <w:rFonts w:ascii="Calibri" w:hAnsi="Calibri" w:cs="Calibri"/>
          <w:b/>
          <w:bCs/>
          <w:spacing w:val="1"/>
        </w:rPr>
        <w:t xml:space="preserve"> </w:t>
      </w:r>
      <w:r>
        <w:rPr>
          <w:rFonts w:ascii="Calibri" w:hAnsi="Calibri" w:cs="Calibri"/>
          <w:b/>
          <w:bCs/>
          <w:spacing w:val="-1"/>
        </w:rPr>
        <w:t>d</w:t>
      </w:r>
      <w:r>
        <w:rPr>
          <w:rFonts w:ascii="Calibri" w:hAnsi="Calibri" w:cs="Calibri"/>
          <w:b/>
          <w:bCs/>
        </w:rPr>
        <w:t>e</w:t>
      </w:r>
      <w:r>
        <w:rPr>
          <w:rFonts w:ascii="Calibri" w:hAnsi="Calibri" w:cs="Calibri"/>
          <w:b/>
          <w:bCs/>
          <w:spacing w:val="-1"/>
        </w:rPr>
        <w:t xml:space="preserve"> </w:t>
      </w:r>
      <w:r w:rsidR="00D6334C">
        <w:rPr>
          <w:rFonts w:ascii="Calibri" w:hAnsi="Calibri" w:cs="Calibri"/>
          <w:b/>
          <w:bCs/>
          <w:spacing w:val="-1"/>
        </w:rPr>
        <w:t>13,84</w:t>
      </w:r>
      <w:r>
        <w:rPr>
          <w:rFonts w:ascii="Calibri" w:hAnsi="Calibri" w:cs="Calibri"/>
          <w:b/>
          <w:bCs/>
          <w:spacing w:val="1"/>
        </w:rPr>
        <w:t xml:space="preserve"> </w:t>
      </w:r>
      <w:r>
        <w:rPr>
          <w:rFonts w:ascii="Calibri" w:hAnsi="Calibri" w:cs="Calibri"/>
          <w:b/>
          <w:bCs/>
        </w:rPr>
        <w:t>q</w:t>
      </w:r>
      <w:r>
        <w:rPr>
          <w:rFonts w:ascii="Calibri" w:hAnsi="Calibri" w:cs="Calibri"/>
          <w:b/>
          <w:bCs/>
          <w:spacing w:val="-1"/>
        </w:rPr>
        <w:t>ui</w:t>
      </w:r>
      <w:r>
        <w:rPr>
          <w:rFonts w:ascii="Calibri" w:hAnsi="Calibri" w:cs="Calibri"/>
          <w:b/>
          <w:bCs/>
          <w:spacing w:val="1"/>
        </w:rPr>
        <w:t>l</w:t>
      </w:r>
      <w:r>
        <w:rPr>
          <w:rFonts w:ascii="Calibri" w:hAnsi="Calibri" w:cs="Calibri"/>
          <w:b/>
          <w:bCs/>
          <w:spacing w:val="-1"/>
        </w:rPr>
        <w:t>ó</w:t>
      </w:r>
      <w:r>
        <w:rPr>
          <w:rFonts w:ascii="Calibri" w:hAnsi="Calibri" w:cs="Calibri"/>
          <w:b/>
          <w:bCs/>
        </w:rPr>
        <w:t>m</w:t>
      </w:r>
      <w:r>
        <w:rPr>
          <w:rFonts w:ascii="Calibri" w:hAnsi="Calibri" w:cs="Calibri"/>
          <w:b/>
          <w:bCs/>
          <w:spacing w:val="-3"/>
        </w:rPr>
        <w:t>e</w:t>
      </w:r>
      <w:r>
        <w:rPr>
          <w:rFonts w:ascii="Calibri" w:hAnsi="Calibri" w:cs="Calibri"/>
          <w:b/>
          <w:bCs/>
        </w:rPr>
        <w:t>t</w:t>
      </w:r>
      <w:r>
        <w:rPr>
          <w:rFonts w:ascii="Calibri" w:hAnsi="Calibri" w:cs="Calibri"/>
          <w:b/>
          <w:bCs/>
          <w:spacing w:val="-1"/>
        </w:rPr>
        <w:t>ro</w:t>
      </w:r>
      <w:r>
        <w:rPr>
          <w:rFonts w:ascii="Calibri" w:hAnsi="Calibri" w:cs="Calibri"/>
          <w:b/>
          <w:bCs/>
        </w:rPr>
        <w:t>s</w:t>
      </w:r>
      <w:r>
        <w:rPr>
          <w:rFonts w:ascii="Calibri" w:hAnsi="Calibri" w:cs="Calibri"/>
          <w:b/>
          <w:bCs/>
          <w:spacing w:val="-1"/>
        </w:rPr>
        <w:t xml:space="preserve"> cad</w:t>
      </w:r>
      <w:r>
        <w:rPr>
          <w:rFonts w:ascii="Calibri" w:hAnsi="Calibri" w:cs="Calibri"/>
          <w:b/>
          <w:bCs/>
          <w:spacing w:val="-4"/>
        </w:rPr>
        <w:t>r</w:t>
      </w:r>
      <w:r>
        <w:rPr>
          <w:rFonts w:ascii="Calibri" w:hAnsi="Calibri" w:cs="Calibri"/>
          <w:b/>
          <w:bCs/>
          <w:spacing w:val="-1"/>
        </w:rPr>
        <w:t>ado</w:t>
      </w:r>
      <w:r>
        <w:rPr>
          <w:rFonts w:ascii="Calibri" w:hAnsi="Calibri" w:cs="Calibri"/>
          <w:b/>
          <w:bCs/>
        </w:rPr>
        <w:t>s</w:t>
      </w:r>
      <w:r>
        <w:rPr>
          <w:rFonts w:ascii="Calibri" w:hAnsi="Calibri" w:cs="Calibri"/>
          <w:b/>
          <w:bCs/>
          <w:spacing w:val="1"/>
        </w:rPr>
        <w:t xml:space="preserve"> (</w:t>
      </w:r>
      <w:r w:rsidR="00D6334C">
        <w:rPr>
          <w:rFonts w:ascii="Calibri" w:hAnsi="Calibri" w:cs="Calibri"/>
          <w:b/>
          <w:bCs/>
          <w:spacing w:val="1"/>
        </w:rPr>
        <w:t>1</w:t>
      </w:r>
      <w:r>
        <w:rPr>
          <w:rFonts w:ascii="Calibri" w:hAnsi="Calibri" w:cs="Calibri"/>
          <w:b/>
          <w:bCs/>
          <w:spacing w:val="1"/>
        </w:rPr>
        <w:t>.</w:t>
      </w:r>
      <w:r w:rsidR="00D6334C">
        <w:rPr>
          <w:rFonts w:ascii="Calibri" w:hAnsi="Calibri" w:cs="Calibri"/>
          <w:b/>
          <w:bCs/>
          <w:spacing w:val="1"/>
        </w:rPr>
        <w:t>384,45</w:t>
      </w:r>
      <w:r>
        <w:rPr>
          <w:rFonts w:ascii="Calibri" w:hAnsi="Calibri" w:cs="Calibri"/>
          <w:b/>
          <w:bCs/>
          <w:spacing w:val="-1"/>
        </w:rPr>
        <w:t xml:space="preserve"> </w:t>
      </w:r>
      <w:r>
        <w:rPr>
          <w:rFonts w:ascii="Calibri" w:hAnsi="Calibri" w:cs="Calibri"/>
          <w:b/>
          <w:bCs/>
        </w:rPr>
        <w:t>h</w:t>
      </w:r>
      <w:r>
        <w:rPr>
          <w:rFonts w:ascii="Calibri" w:hAnsi="Calibri" w:cs="Calibri"/>
          <w:b/>
          <w:bCs/>
          <w:spacing w:val="-1"/>
        </w:rPr>
        <w:t>a</w:t>
      </w:r>
      <w:r>
        <w:rPr>
          <w:rFonts w:ascii="Calibri" w:hAnsi="Calibri" w:cs="Calibri"/>
          <w:b/>
          <w:bCs/>
        </w:rPr>
        <w:t xml:space="preserve">) </w:t>
      </w:r>
      <w:r>
        <w:rPr>
          <w:rFonts w:ascii="Calibri" w:hAnsi="Calibri" w:cs="Calibri"/>
          <w:b/>
          <w:bCs/>
          <w:spacing w:val="-1"/>
        </w:rPr>
        <w:t xml:space="preserve">para a implantación de tan so </w:t>
      </w:r>
      <w:r w:rsidR="00D6334C">
        <w:rPr>
          <w:rFonts w:ascii="Calibri" w:hAnsi="Calibri" w:cs="Calibri"/>
          <w:b/>
          <w:bCs/>
          <w:spacing w:val="-1"/>
        </w:rPr>
        <w:t>4</w:t>
      </w:r>
      <w:r>
        <w:rPr>
          <w:rFonts w:ascii="Calibri" w:hAnsi="Calibri" w:cs="Calibri"/>
          <w:b/>
          <w:bCs/>
          <w:spacing w:val="-1"/>
        </w:rPr>
        <w:t xml:space="preserve"> aeroxeradores</w:t>
      </w:r>
      <w:r>
        <w:rPr>
          <w:rFonts w:ascii="Calibri" w:hAnsi="Calibri" w:cs="Calibri"/>
          <w:b/>
          <w:bCs/>
        </w:rPr>
        <w:t>.</w:t>
      </w:r>
      <w:bookmarkEnd w:id="63"/>
    </w:p>
    <w:tbl>
      <w:tblPr>
        <w:tblStyle w:val="Tablaconcuadrcula"/>
        <w:tblW w:w="0" w:type="auto"/>
        <w:tblInd w:w="2251" w:type="dxa"/>
        <w:tblLook w:val="04A0" w:firstRow="1" w:lastRow="0" w:firstColumn="1" w:lastColumn="0" w:noHBand="0" w:noVBand="1"/>
      </w:tblPr>
      <w:tblGrid>
        <w:gridCol w:w="5147"/>
      </w:tblGrid>
      <w:tr w:rsidR="00D6334C" w14:paraId="1DA449D8" w14:textId="77777777" w:rsidTr="00D6334C">
        <w:tc>
          <w:tcPr>
            <w:tcW w:w="5147" w:type="dxa"/>
          </w:tcPr>
          <w:p w14:paraId="1424542C" w14:textId="3193F81D" w:rsidR="00D6334C" w:rsidRDefault="00D6334C" w:rsidP="00D6334C">
            <w:pPr>
              <w:pStyle w:val="Default"/>
              <w:spacing w:before="120"/>
              <w:jc w:val="center"/>
              <w:rPr>
                <w:rFonts w:asciiTheme="minorHAnsi" w:hAnsiTheme="minorHAnsi" w:cstheme="minorHAnsi"/>
              </w:rPr>
            </w:pPr>
            <w:r>
              <w:rPr>
                <w:rFonts w:asciiTheme="minorHAnsi" w:hAnsiTheme="minorHAnsi" w:cstheme="minorHAnsi"/>
                <w:noProof/>
                <w:lang w:eastAsia="es-ES"/>
              </w:rPr>
              <w:lastRenderedPageBreak/>
              <w:drawing>
                <wp:inline distT="0" distB="0" distL="0" distR="0" wp14:anchorId="14A240B6" wp14:editId="7D79D11F">
                  <wp:extent cx="3131245" cy="4012442"/>
                  <wp:effectExtent l="0" t="0" r="0" b="762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jpg"/>
                          <pic:cNvPicPr/>
                        </pic:nvPicPr>
                        <pic:blipFill>
                          <a:blip r:embed="rId66">
                            <a:extLst>
                              <a:ext uri="{28A0092B-C50C-407E-A947-70E740481C1C}">
                                <a14:useLocalDpi xmlns:a14="http://schemas.microsoft.com/office/drawing/2010/main"/>
                              </a:ext>
                            </a:extLst>
                          </a:blip>
                          <a:stretch>
                            <a:fillRect/>
                          </a:stretch>
                        </pic:blipFill>
                        <pic:spPr>
                          <a:xfrm>
                            <a:off x="0" y="0"/>
                            <a:ext cx="3133295" cy="4015069"/>
                          </a:xfrm>
                          <a:prstGeom prst="rect">
                            <a:avLst/>
                          </a:prstGeom>
                        </pic:spPr>
                      </pic:pic>
                    </a:graphicData>
                  </a:graphic>
                </wp:inline>
              </w:drawing>
            </w:r>
          </w:p>
        </w:tc>
      </w:tr>
    </w:tbl>
    <w:p w14:paraId="25076C3F" w14:textId="182CB628" w:rsidR="00DE3D2B" w:rsidRDefault="00DE3D2B" w:rsidP="00DE3D2B">
      <w:pPr>
        <w:pStyle w:val="Default"/>
        <w:spacing w:before="120"/>
        <w:jc w:val="center"/>
        <w:rPr>
          <w:rFonts w:asciiTheme="minorHAnsi" w:hAnsiTheme="minorHAnsi" w:cstheme="minorHAnsi"/>
        </w:rPr>
      </w:pPr>
    </w:p>
    <w:p w14:paraId="67B14628" w14:textId="20D9AA00" w:rsidR="00DE3D2B" w:rsidRPr="00D016A2" w:rsidRDefault="00D016A2" w:rsidP="00D46D97">
      <w:pPr>
        <w:pStyle w:val="Default"/>
        <w:spacing w:before="120"/>
        <w:jc w:val="both"/>
        <w:rPr>
          <w:rFonts w:asciiTheme="minorHAnsi" w:hAnsiTheme="minorHAnsi" w:cstheme="minorHAnsi"/>
        </w:rPr>
      </w:pPr>
      <w:r>
        <w:rPr>
          <w:rFonts w:asciiTheme="minorHAnsi" w:hAnsiTheme="minorHAnsi" w:cstheme="minorHAnsi"/>
        </w:rPr>
        <w:t xml:space="preserve">Non existe na documentación elevada a exposición pública unha xustificación razoada  da necesidade de espacio para a instalación de tan so </w:t>
      </w:r>
      <w:r w:rsidR="00D6334C">
        <w:rPr>
          <w:rFonts w:asciiTheme="minorHAnsi" w:hAnsiTheme="minorHAnsi" w:cstheme="minorHAnsi"/>
        </w:rPr>
        <w:t>4</w:t>
      </w:r>
      <w:r>
        <w:rPr>
          <w:rFonts w:asciiTheme="minorHAnsi" w:hAnsiTheme="minorHAnsi" w:cstheme="minorHAnsi"/>
        </w:rPr>
        <w:t xml:space="preserve"> aeroxeneradores ocupando </w:t>
      </w:r>
      <w:r w:rsidR="00D6334C">
        <w:rPr>
          <w:rFonts w:asciiTheme="minorHAnsi" w:hAnsiTheme="minorHAnsi" w:cstheme="minorHAnsi"/>
        </w:rPr>
        <w:t xml:space="preserve">unha superficie desmesurada de </w:t>
      </w:r>
      <w:r>
        <w:rPr>
          <w:rFonts w:asciiTheme="minorHAnsi" w:hAnsiTheme="minorHAnsi" w:cstheme="minorHAnsi"/>
        </w:rPr>
        <w:t>(</w:t>
      </w:r>
      <w:r w:rsidR="00D6334C">
        <w:rPr>
          <w:rFonts w:asciiTheme="minorHAnsi" w:hAnsiTheme="minorHAnsi" w:cstheme="minorHAnsi"/>
        </w:rPr>
        <w:t>13,84</w:t>
      </w:r>
      <w:r>
        <w:rPr>
          <w:rFonts w:asciiTheme="minorHAnsi" w:hAnsiTheme="minorHAnsi" w:cstheme="minorHAnsi"/>
        </w:rPr>
        <w:t xml:space="preserve"> Km</w:t>
      </w:r>
      <w:r w:rsidRPr="00D016A2">
        <w:rPr>
          <w:rFonts w:asciiTheme="minorHAnsi" w:hAnsiTheme="minorHAnsi" w:cstheme="minorHAnsi"/>
          <w:vertAlign w:val="superscript"/>
        </w:rPr>
        <w:t>2</w:t>
      </w:r>
      <w:r w:rsidR="006610CA">
        <w:rPr>
          <w:rFonts w:asciiTheme="minorHAnsi" w:hAnsiTheme="minorHAnsi" w:cstheme="minorHAnsi"/>
          <w:vertAlign w:val="superscript"/>
        </w:rPr>
        <w:t xml:space="preserve"> </w:t>
      </w:r>
      <w:r w:rsidR="006610CA" w:rsidRPr="006610CA">
        <w:rPr>
          <w:rFonts w:asciiTheme="minorHAnsi" w:hAnsiTheme="minorHAnsi" w:cstheme="minorHAnsi"/>
        </w:rPr>
        <w:t xml:space="preserve">– </w:t>
      </w:r>
      <w:r w:rsidR="00D6334C">
        <w:rPr>
          <w:rFonts w:asciiTheme="minorHAnsi" w:hAnsiTheme="minorHAnsi" w:cstheme="minorHAnsi"/>
        </w:rPr>
        <w:t>1</w:t>
      </w:r>
      <w:r w:rsidR="006610CA" w:rsidRPr="006610CA">
        <w:rPr>
          <w:rFonts w:asciiTheme="minorHAnsi" w:hAnsiTheme="minorHAnsi" w:cstheme="minorHAnsi"/>
        </w:rPr>
        <w:t>.</w:t>
      </w:r>
      <w:r w:rsidR="00D6334C">
        <w:rPr>
          <w:rFonts w:asciiTheme="minorHAnsi" w:hAnsiTheme="minorHAnsi" w:cstheme="minorHAnsi"/>
        </w:rPr>
        <w:t>384,45</w:t>
      </w:r>
      <w:r w:rsidR="006610CA">
        <w:rPr>
          <w:rFonts w:asciiTheme="minorHAnsi" w:hAnsiTheme="minorHAnsi" w:cstheme="minorHAnsi"/>
          <w:vertAlign w:val="superscript"/>
        </w:rPr>
        <w:t xml:space="preserve"> </w:t>
      </w:r>
      <w:r w:rsidR="006610CA">
        <w:rPr>
          <w:rFonts w:asciiTheme="minorHAnsi" w:hAnsiTheme="minorHAnsi" w:cstheme="minorHAnsi"/>
        </w:rPr>
        <w:t>Ha</w:t>
      </w:r>
      <w:r>
        <w:rPr>
          <w:rFonts w:asciiTheme="minorHAnsi" w:hAnsiTheme="minorHAnsi" w:cstheme="minorHAnsi"/>
        </w:rPr>
        <w:t>). Que a administración non houbera esixido á promotora dita xustificación ou unha modificación sustancial de dita p</w:t>
      </w:r>
      <w:r w:rsidR="00D906C4">
        <w:rPr>
          <w:rFonts w:asciiTheme="minorHAnsi" w:hAnsiTheme="minorHAnsi" w:cstheme="minorHAnsi"/>
        </w:rPr>
        <w:t>o</w:t>
      </w:r>
      <w:r>
        <w:rPr>
          <w:rFonts w:asciiTheme="minorHAnsi" w:hAnsiTheme="minorHAnsi" w:cstheme="minorHAnsi"/>
        </w:rPr>
        <w:t xml:space="preserve">ligonal en función das necesidades </w:t>
      </w:r>
      <w:r w:rsidR="00D906C4">
        <w:rPr>
          <w:rFonts w:asciiTheme="minorHAnsi" w:hAnsiTheme="minorHAnsi" w:cstheme="minorHAnsi"/>
        </w:rPr>
        <w:t xml:space="preserve">reais </w:t>
      </w:r>
      <w:r>
        <w:rPr>
          <w:rFonts w:asciiTheme="minorHAnsi" w:hAnsiTheme="minorHAnsi" w:cstheme="minorHAnsi"/>
        </w:rPr>
        <w:t>do P.E. Tor</w:t>
      </w:r>
      <w:r w:rsidR="00D906C4">
        <w:rPr>
          <w:rFonts w:asciiTheme="minorHAnsi" w:hAnsiTheme="minorHAnsi" w:cstheme="minorHAnsi"/>
        </w:rPr>
        <w:t>r</w:t>
      </w:r>
      <w:r>
        <w:rPr>
          <w:rFonts w:asciiTheme="minorHAnsi" w:hAnsiTheme="minorHAnsi" w:cstheme="minorHAnsi"/>
        </w:rPr>
        <w:t>oña</w:t>
      </w:r>
      <w:r w:rsidR="00D906C4">
        <w:rPr>
          <w:rFonts w:asciiTheme="minorHAnsi" w:hAnsiTheme="minorHAnsi" w:cstheme="minorHAnsi"/>
        </w:rPr>
        <w:t xml:space="preserve"> I</w:t>
      </w:r>
      <w:r>
        <w:rPr>
          <w:rFonts w:asciiTheme="minorHAnsi" w:hAnsiTheme="minorHAnsi" w:cstheme="minorHAnsi"/>
        </w:rPr>
        <w:t>,</w:t>
      </w:r>
      <w:r w:rsidR="00B41DCE">
        <w:rPr>
          <w:rFonts w:asciiTheme="minorHAnsi" w:hAnsiTheme="minorHAnsi" w:cstheme="minorHAnsi"/>
        </w:rPr>
        <w:t xml:space="preserve"> é de todo punto de vista racional, inxustificable.</w:t>
      </w:r>
    </w:p>
    <w:p w14:paraId="44AE5441" w14:textId="77777777" w:rsidR="00CC3D20" w:rsidRDefault="00CC3D20" w:rsidP="00D46D97">
      <w:pPr>
        <w:pStyle w:val="Default"/>
        <w:spacing w:before="120"/>
        <w:jc w:val="both"/>
        <w:rPr>
          <w:rFonts w:ascii="Calibri" w:hAnsi="Calibri"/>
        </w:rPr>
      </w:pPr>
    </w:p>
    <w:p w14:paraId="7CAF9263" w14:textId="1A9AFD45" w:rsidR="00242B76" w:rsidRDefault="00242B76" w:rsidP="00242B76">
      <w:pPr>
        <w:pStyle w:val="Default"/>
        <w:shd w:val="clear" w:color="auto" w:fill="C6D9F1"/>
        <w:spacing w:before="120"/>
        <w:ind w:left="1701" w:hanging="1701"/>
        <w:jc w:val="both"/>
        <w:outlineLvl w:val="0"/>
        <w:rPr>
          <w:rFonts w:ascii="Calibri" w:hAnsi="Calibri" w:cs="Calibri"/>
          <w:b/>
          <w:bCs/>
        </w:rPr>
      </w:pPr>
      <w:bookmarkStart w:id="64" w:name="_Toc132510961"/>
      <w:r w:rsidRPr="00BC0247">
        <w:rPr>
          <w:rFonts w:ascii="Calibri" w:hAnsi="Calibri" w:cs="Calibri"/>
          <w:b/>
        </w:rPr>
        <w:t xml:space="preserve">ALEGACIÓN </w:t>
      </w:r>
      <w:r w:rsidR="00E70103">
        <w:rPr>
          <w:rFonts w:ascii="Calibri" w:hAnsi="Calibri" w:cs="Calibri"/>
          <w:b/>
        </w:rPr>
        <w:t>2</w:t>
      </w:r>
      <w:r w:rsidR="00554BDF">
        <w:rPr>
          <w:rFonts w:ascii="Calibri" w:hAnsi="Calibri" w:cs="Calibri"/>
          <w:b/>
        </w:rPr>
        <w:t>2</w:t>
      </w:r>
      <w:r w:rsidRPr="00BC0247">
        <w:rPr>
          <w:rFonts w:ascii="Calibri" w:hAnsi="Calibri" w:cs="Calibri"/>
          <w:b/>
        </w:rPr>
        <w:t>.</w:t>
      </w:r>
      <w:r>
        <w:rPr>
          <w:rFonts w:ascii="Calibri" w:hAnsi="Calibri" w:cs="Calibri"/>
          <w:b/>
        </w:rPr>
        <w:t>-</w:t>
      </w:r>
      <w:r>
        <w:rPr>
          <w:rFonts w:ascii="Calibri" w:hAnsi="Calibri" w:cs="Calibri"/>
        </w:rPr>
        <w:t xml:space="preserve"> </w:t>
      </w:r>
      <w:r>
        <w:rPr>
          <w:rFonts w:ascii="Calibri" w:hAnsi="Calibri" w:cs="Calibri"/>
          <w:b/>
          <w:bCs/>
        </w:rPr>
        <w:t xml:space="preserve">O </w:t>
      </w:r>
      <w:r>
        <w:rPr>
          <w:rFonts w:ascii="Calibri" w:hAnsi="Calibri" w:cs="Calibri"/>
          <w:b/>
          <w:bCs/>
          <w:spacing w:val="-1"/>
        </w:rPr>
        <w:t>p</w:t>
      </w:r>
      <w:r>
        <w:rPr>
          <w:rFonts w:ascii="Calibri" w:hAnsi="Calibri" w:cs="Calibri"/>
          <w:b/>
          <w:bCs/>
          <w:spacing w:val="-2"/>
        </w:rPr>
        <w:t>r</w:t>
      </w:r>
      <w:r>
        <w:rPr>
          <w:rFonts w:ascii="Calibri" w:hAnsi="Calibri" w:cs="Calibri"/>
          <w:b/>
          <w:bCs/>
          <w:spacing w:val="-6"/>
        </w:rPr>
        <w:t>o</w:t>
      </w:r>
      <w:r>
        <w:rPr>
          <w:rFonts w:ascii="Calibri" w:hAnsi="Calibri" w:cs="Calibri"/>
          <w:b/>
          <w:bCs/>
          <w:spacing w:val="-5"/>
        </w:rPr>
        <w:t>x</w:t>
      </w:r>
      <w:r>
        <w:rPr>
          <w:rFonts w:ascii="Calibri" w:hAnsi="Calibri" w:cs="Calibri"/>
          <w:b/>
          <w:bCs/>
          <w:spacing w:val="-1"/>
        </w:rPr>
        <w:t>e</w:t>
      </w:r>
      <w:r>
        <w:rPr>
          <w:rFonts w:ascii="Calibri" w:hAnsi="Calibri" w:cs="Calibri"/>
          <w:b/>
          <w:bCs/>
          <w:spacing w:val="1"/>
        </w:rPr>
        <w:t>c</w:t>
      </w:r>
      <w:r>
        <w:rPr>
          <w:rFonts w:ascii="Calibri" w:hAnsi="Calibri" w:cs="Calibri"/>
          <w:b/>
          <w:bCs/>
          <w:spacing w:val="-2"/>
        </w:rPr>
        <w:t>t</w:t>
      </w:r>
      <w:r>
        <w:rPr>
          <w:rFonts w:ascii="Calibri" w:hAnsi="Calibri" w:cs="Calibri"/>
          <w:b/>
          <w:bCs/>
        </w:rPr>
        <w:t>o</w:t>
      </w:r>
      <w:r>
        <w:rPr>
          <w:rFonts w:ascii="Calibri" w:hAnsi="Calibri" w:cs="Calibri"/>
          <w:b/>
          <w:bCs/>
          <w:spacing w:val="-1"/>
        </w:rPr>
        <w:t xml:space="preserve"> </w:t>
      </w:r>
      <w:r>
        <w:rPr>
          <w:rFonts w:ascii="Calibri" w:hAnsi="Calibri" w:cs="Calibri"/>
          <w:b/>
          <w:bCs/>
          <w:spacing w:val="1"/>
        </w:rPr>
        <w:t>I</w:t>
      </w:r>
      <w:r>
        <w:rPr>
          <w:rFonts w:ascii="Calibri" w:hAnsi="Calibri" w:cs="Calibri"/>
          <w:b/>
          <w:bCs/>
          <w:spacing w:val="-1"/>
        </w:rPr>
        <w:t>ndu</w:t>
      </w:r>
      <w:r>
        <w:rPr>
          <w:rFonts w:ascii="Calibri" w:hAnsi="Calibri" w:cs="Calibri"/>
          <w:b/>
          <w:bCs/>
          <w:spacing w:val="-2"/>
        </w:rPr>
        <w:t>st</w:t>
      </w:r>
      <w:r>
        <w:rPr>
          <w:rFonts w:ascii="Calibri" w:hAnsi="Calibri" w:cs="Calibri"/>
          <w:b/>
          <w:bCs/>
          <w:spacing w:val="1"/>
        </w:rPr>
        <w:t>ri</w:t>
      </w:r>
      <w:r>
        <w:rPr>
          <w:rFonts w:ascii="Calibri" w:hAnsi="Calibri" w:cs="Calibri"/>
          <w:b/>
          <w:bCs/>
          <w:spacing w:val="-3"/>
        </w:rPr>
        <w:t>a</w:t>
      </w:r>
      <w:r>
        <w:rPr>
          <w:rFonts w:ascii="Calibri" w:hAnsi="Calibri" w:cs="Calibri"/>
          <w:b/>
          <w:bCs/>
        </w:rPr>
        <w:t>l</w:t>
      </w:r>
      <w:r>
        <w:rPr>
          <w:rFonts w:ascii="Calibri" w:hAnsi="Calibri" w:cs="Calibri"/>
          <w:b/>
          <w:bCs/>
          <w:spacing w:val="1"/>
        </w:rPr>
        <w:t xml:space="preserve"> </w:t>
      </w:r>
      <w:r>
        <w:rPr>
          <w:rFonts w:ascii="Calibri" w:hAnsi="Calibri" w:cs="Calibri"/>
          <w:b/>
          <w:bCs/>
        </w:rPr>
        <w:t>"</w:t>
      </w:r>
      <w:r>
        <w:rPr>
          <w:rFonts w:ascii="Calibri" w:hAnsi="Calibri" w:cs="Calibri"/>
          <w:b/>
          <w:bCs/>
          <w:spacing w:val="-5"/>
        </w:rPr>
        <w:t>P</w:t>
      </w:r>
      <w:r>
        <w:rPr>
          <w:rFonts w:ascii="Calibri" w:hAnsi="Calibri" w:cs="Calibri"/>
          <w:b/>
          <w:bCs/>
        </w:rPr>
        <w:t>a</w:t>
      </w:r>
      <w:r>
        <w:rPr>
          <w:rFonts w:ascii="Calibri" w:hAnsi="Calibri" w:cs="Calibri"/>
          <w:b/>
          <w:bCs/>
          <w:spacing w:val="-4"/>
        </w:rPr>
        <w:t>r</w:t>
      </w:r>
      <w:r>
        <w:rPr>
          <w:rFonts w:ascii="Calibri" w:hAnsi="Calibri" w:cs="Calibri"/>
          <w:b/>
          <w:bCs/>
          <w:spacing w:val="-1"/>
        </w:rPr>
        <w:t>qu</w:t>
      </w:r>
      <w:r>
        <w:rPr>
          <w:rFonts w:ascii="Calibri" w:hAnsi="Calibri" w:cs="Calibri"/>
          <w:b/>
          <w:bCs/>
        </w:rPr>
        <w:t>e</w:t>
      </w:r>
      <w:r>
        <w:rPr>
          <w:rFonts w:ascii="Calibri" w:hAnsi="Calibri" w:cs="Calibri"/>
          <w:b/>
          <w:bCs/>
          <w:spacing w:val="-1"/>
        </w:rPr>
        <w:t xml:space="preserve"> </w:t>
      </w:r>
      <w:r>
        <w:rPr>
          <w:rFonts w:ascii="Calibri" w:hAnsi="Calibri" w:cs="Calibri"/>
          <w:b/>
          <w:bCs/>
          <w:spacing w:val="-4"/>
        </w:rPr>
        <w:t>E</w:t>
      </w:r>
      <w:r>
        <w:rPr>
          <w:rFonts w:ascii="Calibri" w:hAnsi="Calibri" w:cs="Calibri"/>
          <w:b/>
          <w:bCs/>
          <w:spacing w:val="-1"/>
        </w:rPr>
        <w:t>ó</w:t>
      </w:r>
      <w:r>
        <w:rPr>
          <w:rFonts w:ascii="Calibri" w:hAnsi="Calibri" w:cs="Calibri"/>
          <w:b/>
          <w:bCs/>
          <w:spacing w:val="1"/>
        </w:rPr>
        <w:t>lic</w:t>
      </w:r>
      <w:r>
        <w:rPr>
          <w:rFonts w:ascii="Calibri" w:hAnsi="Calibri" w:cs="Calibri"/>
          <w:b/>
          <w:bCs/>
        </w:rPr>
        <w:t>o</w:t>
      </w:r>
      <w:r>
        <w:rPr>
          <w:rFonts w:ascii="Calibri" w:hAnsi="Calibri" w:cs="Calibri"/>
          <w:b/>
          <w:bCs/>
          <w:spacing w:val="-3"/>
        </w:rPr>
        <w:t xml:space="preserve"> </w:t>
      </w:r>
      <w:r>
        <w:rPr>
          <w:rFonts w:ascii="Calibri" w:hAnsi="Calibri" w:cs="Calibri"/>
          <w:b/>
          <w:bCs/>
          <w:spacing w:val="-18"/>
        </w:rPr>
        <w:t>T</w:t>
      </w:r>
      <w:r>
        <w:rPr>
          <w:rFonts w:ascii="Calibri" w:hAnsi="Calibri" w:cs="Calibri"/>
          <w:b/>
          <w:bCs/>
          <w:spacing w:val="-1"/>
        </w:rPr>
        <w:t>o</w:t>
      </w:r>
      <w:r w:rsidR="00674279">
        <w:rPr>
          <w:rFonts w:ascii="Calibri" w:hAnsi="Calibri" w:cs="Calibri"/>
          <w:b/>
          <w:bCs/>
          <w:spacing w:val="-1"/>
        </w:rPr>
        <w:t>r</w:t>
      </w:r>
      <w:r>
        <w:rPr>
          <w:rFonts w:ascii="Calibri" w:hAnsi="Calibri" w:cs="Calibri"/>
          <w:b/>
          <w:bCs/>
          <w:spacing w:val="-2"/>
        </w:rPr>
        <w:t>r</w:t>
      </w:r>
      <w:r>
        <w:rPr>
          <w:rFonts w:ascii="Calibri" w:hAnsi="Calibri" w:cs="Calibri"/>
          <w:b/>
          <w:bCs/>
          <w:spacing w:val="-1"/>
        </w:rPr>
        <w:t>oña</w:t>
      </w:r>
      <w:r w:rsidR="00674279">
        <w:rPr>
          <w:rFonts w:ascii="Calibri" w:hAnsi="Calibri" w:cs="Calibri"/>
          <w:b/>
          <w:bCs/>
          <w:spacing w:val="-1"/>
        </w:rPr>
        <w:t xml:space="preserve"> I</w:t>
      </w:r>
      <w:r>
        <w:rPr>
          <w:rFonts w:ascii="Calibri" w:hAnsi="Calibri" w:cs="Calibri"/>
          <w:b/>
          <w:bCs/>
        </w:rPr>
        <w:t>" está ubicado nunha zona calificada como de Máxima Sensibilidade Ambiental polo que non se recomen</w:t>
      </w:r>
      <w:r w:rsidR="00FE1A20">
        <w:rPr>
          <w:rFonts w:ascii="Calibri" w:hAnsi="Calibri" w:cs="Calibri"/>
          <w:b/>
          <w:bCs/>
        </w:rPr>
        <w:t>d</w:t>
      </w:r>
      <w:r>
        <w:rPr>
          <w:rFonts w:ascii="Calibri" w:hAnsi="Calibri" w:cs="Calibri"/>
          <w:b/>
          <w:bCs/>
        </w:rPr>
        <w:t>a a instalación de este tipo de infraestructuras.</w:t>
      </w:r>
      <w:bookmarkEnd w:id="64"/>
    </w:p>
    <w:p w14:paraId="77101B28" w14:textId="0D91CEB2" w:rsidR="00242B76" w:rsidRDefault="00242B76" w:rsidP="00242B76">
      <w:pPr>
        <w:jc w:val="both"/>
        <w:rPr>
          <w:rFonts w:asciiTheme="minorHAnsi" w:hAnsiTheme="minorHAnsi" w:cstheme="minorHAnsi"/>
          <w:sz w:val="24"/>
          <w:szCs w:val="24"/>
        </w:rPr>
      </w:pPr>
      <w:r>
        <w:rPr>
          <w:rFonts w:asciiTheme="minorHAnsi" w:hAnsiTheme="minorHAnsi" w:cstheme="minorHAnsi"/>
          <w:sz w:val="24"/>
          <w:szCs w:val="24"/>
        </w:rPr>
        <w:t>O P.E. Tor</w:t>
      </w:r>
      <w:r w:rsidR="00674279">
        <w:rPr>
          <w:rFonts w:asciiTheme="minorHAnsi" w:hAnsiTheme="minorHAnsi" w:cstheme="minorHAnsi"/>
          <w:sz w:val="24"/>
          <w:szCs w:val="24"/>
        </w:rPr>
        <w:t>r</w:t>
      </w:r>
      <w:r>
        <w:rPr>
          <w:rFonts w:asciiTheme="minorHAnsi" w:hAnsiTheme="minorHAnsi" w:cstheme="minorHAnsi"/>
          <w:sz w:val="24"/>
          <w:szCs w:val="24"/>
        </w:rPr>
        <w:t>oña</w:t>
      </w:r>
      <w:r w:rsidR="00674279">
        <w:rPr>
          <w:rFonts w:asciiTheme="minorHAnsi" w:hAnsiTheme="minorHAnsi" w:cstheme="minorHAnsi"/>
          <w:sz w:val="24"/>
          <w:szCs w:val="24"/>
        </w:rPr>
        <w:t xml:space="preserve"> I</w:t>
      </w:r>
      <w:r>
        <w:rPr>
          <w:rFonts w:asciiTheme="minorHAnsi" w:hAnsiTheme="minorHAnsi" w:cstheme="minorHAnsi"/>
          <w:sz w:val="24"/>
          <w:szCs w:val="24"/>
        </w:rPr>
        <w:t xml:space="preserve"> e as súas infraestructuras, están localizadas en zonas de </w:t>
      </w:r>
      <w:r w:rsidRPr="005F7AD0">
        <w:rPr>
          <w:rFonts w:asciiTheme="minorHAnsi" w:hAnsiTheme="minorHAnsi" w:cstheme="minorHAnsi"/>
          <w:i/>
          <w:sz w:val="24"/>
          <w:szCs w:val="24"/>
        </w:rPr>
        <w:t>“máxima sensibilidade ambiental”</w:t>
      </w:r>
      <w:r>
        <w:rPr>
          <w:rFonts w:asciiTheme="minorHAnsi" w:hAnsiTheme="minorHAnsi" w:cstheme="minorHAnsi"/>
          <w:sz w:val="24"/>
          <w:szCs w:val="24"/>
        </w:rPr>
        <w:t xml:space="preserve"> </w:t>
      </w:r>
      <w:r w:rsidR="005F7AD0">
        <w:rPr>
          <w:rFonts w:asciiTheme="minorHAnsi" w:hAnsiTheme="minorHAnsi" w:cstheme="minorHAnsi"/>
          <w:sz w:val="24"/>
          <w:szCs w:val="24"/>
        </w:rPr>
        <w:t xml:space="preserve">e </w:t>
      </w:r>
      <w:r w:rsidR="005F7AD0" w:rsidRPr="005F7AD0">
        <w:rPr>
          <w:rFonts w:asciiTheme="minorHAnsi" w:hAnsiTheme="minorHAnsi" w:cstheme="minorHAnsi"/>
          <w:i/>
          <w:sz w:val="24"/>
          <w:szCs w:val="24"/>
        </w:rPr>
        <w:t>“alta sensibilidade ambiental”</w:t>
      </w:r>
      <w:r w:rsidR="005F7AD0">
        <w:rPr>
          <w:rFonts w:asciiTheme="minorHAnsi" w:hAnsiTheme="minorHAnsi" w:cstheme="minorHAnsi"/>
          <w:sz w:val="24"/>
          <w:szCs w:val="24"/>
        </w:rPr>
        <w:t xml:space="preserve">  ocupando zonas de </w:t>
      </w:r>
      <w:r w:rsidR="005F7AD0" w:rsidRPr="005F7AD0">
        <w:rPr>
          <w:rFonts w:asciiTheme="minorHAnsi" w:hAnsiTheme="minorHAnsi" w:cstheme="minorHAnsi"/>
          <w:i/>
          <w:sz w:val="24"/>
          <w:szCs w:val="24"/>
        </w:rPr>
        <w:t>“sensibilidade</w:t>
      </w:r>
      <w:r w:rsidR="00D01864">
        <w:rPr>
          <w:rFonts w:asciiTheme="minorHAnsi" w:hAnsiTheme="minorHAnsi" w:cstheme="minorHAnsi"/>
          <w:i/>
          <w:sz w:val="24"/>
          <w:szCs w:val="24"/>
        </w:rPr>
        <w:t xml:space="preserve"> moderada</w:t>
      </w:r>
      <w:r w:rsidR="005F7AD0" w:rsidRPr="005F7AD0">
        <w:rPr>
          <w:rFonts w:asciiTheme="minorHAnsi" w:hAnsiTheme="minorHAnsi" w:cstheme="minorHAnsi"/>
          <w:i/>
          <w:sz w:val="24"/>
          <w:szCs w:val="24"/>
        </w:rPr>
        <w:t>”</w:t>
      </w:r>
      <w:r w:rsidR="005F7AD0">
        <w:rPr>
          <w:rFonts w:asciiTheme="minorHAnsi" w:hAnsiTheme="minorHAnsi" w:cstheme="minorHAnsi"/>
          <w:sz w:val="24"/>
          <w:szCs w:val="24"/>
        </w:rPr>
        <w:t xml:space="preserve"> </w:t>
      </w:r>
      <w:r>
        <w:rPr>
          <w:rFonts w:asciiTheme="minorHAnsi" w:hAnsiTheme="minorHAnsi" w:cstheme="minorHAnsi"/>
          <w:sz w:val="24"/>
          <w:szCs w:val="24"/>
        </w:rPr>
        <w:t>segundo a</w:t>
      </w:r>
      <w:r w:rsidRPr="00242B76">
        <w:rPr>
          <w:rFonts w:asciiTheme="minorHAnsi" w:hAnsiTheme="minorHAnsi" w:cstheme="minorHAnsi"/>
          <w:b/>
          <w:bCs/>
          <w:sz w:val="24"/>
          <w:szCs w:val="24"/>
        </w:rPr>
        <w:t xml:space="preserve"> </w:t>
      </w:r>
      <w:hyperlink r:id="rId67" w:history="1">
        <w:r w:rsidRPr="00D01864">
          <w:rPr>
            <w:rStyle w:val="Hipervnculo"/>
            <w:rFonts w:asciiTheme="minorHAnsi" w:hAnsiTheme="minorHAnsi" w:cstheme="minorHAnsi"/>
            <w:b/>
            <w:bCs/>
            <w:sz w:val="24"/>
            <w:szCs w:val="24"/>
          </w:rPr>
          <w:t>Clasificación de sensibilidade ambiental proporcionada pola Zonificación ambiental para enerxías renovables elaborada polo Ministerio para la Transición Ecológica y el Reto Demográfico</w:t>
        </w:r>
      </w:hyperlink>
      <w:r w:rsidR="00D01864">
        <w:rPr>
          <w:rStyle w:val="Refdenotaalpie"/>
          <w:rFonts w:asciiTheme="minorHAnsi" w:hAnsiTheme="minorHAnsi"/>
          <w:b/>
          <w:bCs/>
          <w:sz w:val="24"/>
          <w:szCs w:val="24"/>
        </w:rPr>
        <w:footnoteReference w:id="52"/>
      </w:r>
      <w:r w:rsidRPr="00242B76">
        <w:rPr>
          <w:rFonts w:asciiTheme="minorHAnsi" w:hAnsiTheme="minorHAnsi" w:cstheme="minorHAnsi"/>
          <w:sz w:val="24"/>
          <w:szCs w:val="24"/>
        </w:rPr>
        <w:t xml:space="preserve"> (</w:t>
      </w:r>
      <w:r w:rsidRPr="00242B76">
        <w:rPr>
          <w:rFonts w:asciiTheme="minorHAnsi" w:hAnsiTheme="minorHAnsi" w:cstheme="minorHAnsi"/>
          <w:i/>
          <w:iCs/>
          <w:sz w:val="24"/>
          <w:szCs w:val="24"/>
        </w:rPr>
        <w:t>Resolución de 30 de diciembre de 2020, de la Dirección General de Calidad y Evaluación Ambiental, por la que se formula la declaración ambiental estratégica del Plan Nacional Integrado de Energía y Clima 2021-2030, «BOE» núm. 9, de 11 de enero de 2021).</w:t>
      </w:r>
    </w:p>
    <w:p w14:paraId="43EF20D5" w14:textId="6E1EC60B" w:rsidR="00A55D2E" w:rsidRDefault="00A55D2E" w:rsidP="00242B76">
      <w:pPr>
        <w:jc w:val="both"/>
        <w:rPr>
          <w:rFonts w:asciiTheme="minorHAnsi" w:hAnsiTheme="minorHAnsi" w:cstheme="minorHAnsi"/>
          <w:sz w:val="24"/>
          <w:szCs w:val="24"/>
        </w:rPr>
      </w:pPr>
      <w:r w:rsidRPr="00242B76">
        <w:rPr>
          <w:rFonts w:asciiTheme="minorHAnsi" w:hAnsiTheme="minorHAnsi" w:cstheme="minorHAnsi"/>
          <w:sz w:val="24"/>
          <w:szCs w:val="24"/>
        </w:rPr>
        <w:t>Según a información proporcionada por esta ferramenta, a maior parte das infraestruturas do proxecto eólico To</w:t>
      </w:r>
      <w:r w:rsidR="00674279">
        <w:rPr>
          <w:rFonts w:asciiTheme="minorHAnsi" w:hAnsiTheme="minorHAnsi" w:cstheme="minorHAnsi"/>
          <w:sz w:val="24"/>
          <w:szCs w:val="24"/>
        </w:rPr>
        <w:t>r</w:t>
      </w:r>
      <w:r w:rsidRPr="00242B76">
        <w:rPr>
          <w:rFonts w:asciiTheme="minorHAnsi" w:hAnsiTheme="minorHAnsi" w:cstheme="minorHAnsi"/>
          <w:sz w:val="24"/>
          <w:szCs w:val="24"/>
        </w:rPr>
        <w:t>roña</w:t>
      </w:r>
      <w:r w:rsidR="00674279">
        <w:rPr>
          <w:rFonts w:asciiTheme="minorHAnsi" w:hAnsiTheme="minorHAnsi" w:cstheme="minorHAnsi"/>
          <w:sz w:val="24"/>
          <w:szCs w:val="24"/>
        </w:rPr>
        <w:t xml:space="preserve"> I</w:t>
      </w:r>
      <w:r w:rsidRPr="00242B76">
        <w:rPr>
          <w:rFonts w:asciiTheme="minorHAnsi" w:hAnsiTheme="minorHAnsi" w:cstheme="minorHAnsi"/>
          <w:sz w:val="24"/>
          <w:szCs w:val="24"/>
        </w:rPr>
        <w:t xml:space="preserve"> ubícanse en áreas non recomendadas para a instalación da enerxía eólica, pola súa sensibilidade ambiental</w:t>
      </w:r>
      <w:r w:rsidR="00BE5F9E">
        <w:rPr>
          <w:rFonts w:asciiTheme="minorHAnsi" w:hAnsiTheme="minorHAnsi" w:cstheme="minorHAnsi"/>
          <w:sz w:val="24"/>
          <w:szCs w:val="24"/>
        </w:rPr>
        <w:t xml:space="preserve">, segundo o criterio do </w:t>
      </w:r>
      <w:r w:rsidR="00BE5F9E" w:rsidRPr="00BE5F9E">
        <w:rPr>
          <w:rFonts w:asciiTheme="minorHAnsi" w:hAnsiTheme="minorHAnsi" w:cstheme="minorHAnsi"/>
          <w:bCs/>
          <w:sz w:val="24"/>
          <w:szCs w:val="24"/>
        </w:rPr>
        <w:t>Ministerio para</w:t>
      </w:r>
      <w:r w:rsidR="00BE5F9E">
        <w:rPr>
          <w:rFonts w:asciiTheme="minorHAnsi" w:hAnsiTheme="minorHAnsi" w:cstheme="minorHAnsi"/>
          <w:bCs/>
        </w:rPr>
        <w:t xml:space="preserve"> </w:t>
      </w:r>
      <w:r w:rsidR="00BE5F9E" w:rsidRPr="00CF7CE1">
        <w:rPr>
          <w:rFonts w:asciiTheme="minorHAnsi" w:hAnsiTheme="minorHAnsi" w:cstheme="minorHAnsi"/>
          <w:bCs/>
          <w:sz w:val="24"/>
          <w:szCs w:val="24"/>
        </w:rPr>
        <w:t>a Transición Ecoló</w:t>
      </w:r>
      <w:r w:rsidR="00BE5F9E">
        <w:rPr>
          <w:rFonts w:asciiTheme="minorHAnsi" w:hAnsiTheme="minorHAnsi" w:cstheme="minorHAnsi"/>
          <w:bCs/>
        </w:rPr>
        <w:t>x</w:t>
      </w:r>
      <w:r w:rsidR="00BE5F9E" w:rsidRPr="00CF7CE1">
        <w:rPr>
          <w:rFonts w:asciiTheme="minorHAnsi" w:hAnsiTheme="minorHAnsi" w:cstheme="minorHAnsi"/>
          <w:bCs/>
          <w:sz w:val="24"/>
          <w:szCs w:val="24"/>
        </w:rPr>
        <w:t xml:space="preserve">ica </w:t>
      </w:r>
      <w:r w:rsidR="00BE5F9E">
        <w:rPr>
          <w:rFonts w:asciiTheme="minorHAnsi" w:hAnsiTheme="minorHAnsi" w:cstheme="minorHAnsi"/>
          <w:bCs/>
        </w:rPr>
        <w:t>e</w:t>
      </w:r>
      <w:r w:rsidR="00BE5F9E" w:rsidRPr="00CF7CE1">
        <w:rPr>
          <w:rFonts w:asciiTheme="minorHAnsi" w:hAnsiTheme="minorHAnsi" w:cstheme="minorHAnsi"/>
          <w:bCs/>
          <w:sz w:val="24"/>
          <w:szCs w:val="24"/>
        </w:rPr>
        <w:t xml:space="preserve"> </w:t>
      </w:r>
      <w:r w:rsidR="00BE5F9E">
        <w:rPr>
          <w:rFonts w:asciiTheme="minorHAnsi" w:hAnsiTheme="minorHAnsi" w:cstheme="minorHAnsi"/>
          <w:bCs/>
        </w:rPr>
        <w:t>o</w:t>
      </w:r>
      <w:r w:rsidR="00BE5F9E" w:rsidRPr="00CF7CE1">
        <w:rPr>
          <w:rFonts w:asciiTheme="minorHAnsi" w:hAnsiTheme="minorHAnsi" w:cstheme="minorHAnsi"/>
          <w:bCs/>
          <w:sz w:val="24"/>
          <w:szCs w:val="24"/>
        </w:rPr>
        <w:t xml:space="preserve"> Reto Demográfico</w:t>
      </w:r>
      <w:r w:rsidRPr="00242B76">
        <w:rPr>
          <w:rFonts w:asciiTheme="minorHAnsi" w:hAnsiTheme="minorHAnsi" w:cstheme="minorHAnsi"/>
          <w:sz w:val="24"/>
          <w:szCs w:val="24"/>
        </w:rPr>
        <w:t>.</w:t>
      </w:r>
    </w:p>
    <w:p w14:paraId="2F15048E" w14:textId="730265CD" w:rsidR="005F7AD0" w:rsidRDefault="00F03D96" w:rsidP="005F7AD0">
      <w:pPr>
        <w:jc w:val="center"/>
        <w:rPr>
          <w:rFonts w:asciiTheme="minorHAnsi" w:hAnsiTheme="minorHAnsi" w:cstheme="minorHAnsi"/>
          <w:sz w:val="24"/>
          <w:szCs w:val="24"/>
        </w:rPr>
      </w:pPr>
      <w:r>
        <w:rPr>
          <w:rFonts w:asciiTheme="minorHAnsi" w:hAnsiTheme="minorHAnsi" w:cstheme="minorHAnsi"/>
          <w:noProof/>
          <w:sz w:val="24"/>
          <w:szCs w:val="24"/>
          <w:lang w:eastAsia="es-ES"/>
        </w:rPr>
        <w:lastRenderedPageBreak/>
        <w:drawing>
          <wp:inline distT="0" distB="0" distL="0" distR="0" wp14:anchorId="0E7AEA7F" wp14:editId="1D9DD8E1">
            <wp:extent cx="4763068" cy="3302407"/>
            <wp:effectExtent l="0" t="0" r="0" b="0"/>
            <wp:docPr id="40" name="Imagen 40" descr="C:\Users\Anxo\AppData\Local\Microsoft\Windows\INetCache\Content.Outlook\P1YNXCPL\sensibilidade ambie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xo\AppData\Local\Microsoft\Windows\INetCache\Content.Outlook\P1YNXCPL\sensibilidade ambiental.pn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4762869" cy="3302269"/>
                    </a:xfrm>
                    <a:prstGeom prst="rect">
                      <a:avLst/>
                    </a:prstGeom>
                    <a:noFill/>
                    <a:ln>
                      <a:noFill/>
                    </a:ln>
                  </pic:spPr>
                </pic:pic>
              </a:graphicData>
            </a:graphic>
          </wp:inline>
        </w:drawing>
      </w:r>
    </w:p>
    <w:p w14:paraId="03F0A533" w14:textId="4091FE04" w:rsidR="00CF7CE1" w:rsidRDefault="00CF7CE1" w:rsidP="00CF7CE1">
      <w:pPr>
        <w:pStyle w:val="Default"/>
        <w:jc w:val="center"/>
        <w:rPr>
          <w:rFonts w:asciiTheme="minorHAnsi" w:hAnsiTheme="minorHAnsi" w:cstheme="minorHAnsi"/>
          <w:color w:val="auto"/>
          <w:sz w:val="16"/>
          <w:szCs w:val="16"/>
        </w:rPr>
      </w:pPr>
      <w:r w:rsidRPr="00CF7CE1">
        <w:rPr>
          <w:rFonts w:asciiTheme="minorHAnsi" w:hAnsiTheme="minorHAnsi" w:cstheme="minorHAnsi"/>
          <w:color w:val="auto"/>
          <w:sz w:val="16"/>
          <w:szCs w:val="16"/>
        </w:rPr>
        <w:t>As areas sen sombrear corresp</w:t>
      </w:r>
      <w:r w:rsidR="00E83AEA">
        <w:rPr>
          <w:rFonts w:asciiTheme="minorHAnsi" w:hAnsiTheme="minorHAnsi" w:cstheme="minorHAnsi"/>
          <w:color w:val="auto"/>
          <w:sz w:val="16"/>
          <w:szCs w:val="16"/>
        </w:rPr>
        <w:t>ó</w:t>
      </w:r>
      <w:r w:rsidRPr="00CF7CE1">
        <w:rPr>
          <w:rFonts w:asciiTheme="minorHAnsi" w:hAnsiTheme="minorHAnsi" w:cstheme="minorHAnsi"/>
          <w:color w:val="auto"/>
          <w:sz w:val="16"/>
          <w:szCs w:val="16"/>
        </w:rPr>
        <w:t>ndense con zonas de  máxima sensibilidade ambiental</w:t>
      </w:r>
      <w:r>
        <w:rPr>
          <w:rFonts w:asciiTheme="minorHAnsi" w:hAnsiTheme="minorHAnsi" w:cstheme="minorHAnsi"/>
          <w:color w:val="auto"/>
          <w:sz w:val="16"/>
          <w:szCs w:val="16"/>
        </w:rPr>
        <w:t>.</w:t>
      </w:r>
    </w:p>
    <w:p w14:paraId="1F9D7B65" w14:textId="784E9515" w:rsidR="00CF7CE1" w:rsidRDefault="00CF7CE1" w:rsidP="00CF7CE1">
      <w:pPr>
        <w:pStyle w:val="Default"/>
        <w:jc w:val="center"/>
        <w:rPr>
          <w:rFonts w:asciiTheme="minorHAnsi" w:hAnsiTheme="minorHAnsi" w:cstheme="minorHAnsi"/>
          <w:color w:val="auto"/>
          <w:sz w:val="16"/>
          <w:szCs w:val="16"/>
        </w:rPr>
      </w:pPr>
      <w:r>
        <w:rPr>
          <w:rFonts w:asciiTheme="minorHAnsi" w:hAnsiTheme="minorHAnsi" w:cstheme="minorHAnsi"/>
          <w:color w:val="auto"/>
          <w:sz w:val="16"/>
          <w:szCs w:val="16"/>
        </w:rPr>
        <w:t>A</w:t>
      </w:r>
      <w:r w:rsidRPr="00CF7CE1">
        <w:rPr>
          <w:rFonts w:asciiTheme="minorHAnsi" w:hAnsiTheme="minorHAnsi" w:cstheme="minorHAnsi"/>
          <w:color w:val="auto"/>
          <w:sz w:val="16"/>
          <w:szCs w:val="16"/>
        </w:rPr>
        <w:t>s áreas verdes correspondente con zonas de sensibilidade alta e</w:t>
      </w:r>
    </w:p>
    <w:p w14:paraId="5EBB9580" w14:textId="7793A77B" w:rsidR="00CF7CE1" w:rsidRDefault="00CF7CE1" w:rsidP="00CF7CE1">
      <w:pPr>
        <w:pStyle w:val="Default"/>
        <w:jc w:val="center"/>
        <w:rPr>
          <w:rFonts w:asciiTheme="minorHAnsi" w:hAnsiTheme="minorHAnsi" w:cstheme="minorHAnsi"/>
          <w:color w:val="auto"/>
          <w:sz w:val="16"/>
          <w:szCs w:val="16"/>
        </w:rPr>
      </w:pPr>
      <w:r w:rsidRPr="00CF7CE1">
        <w:rPr>
          <w:rFonts w:asciiTheme="minorHAnsi" w:hAnsiTheme="minorHAnsi" w:cstheme="minorHAnsi"/>
          <w:color w:val="auto"/>
          <w:sz w:val="16"/>
          <w:szCs w:val="16"/>
        </w:rPr>
        <w:t>as áreas brancas correspondense con zonas de sensibilidade moderada.</w:t>
      </w:r>
    </w:p>
    <w:p w14:paraId="035A348F" w14:textId="282C2346" w:rsidR="00400B70" w:rsidRPr="00D906C4" w:rsidRDefault="00400B70" w:rsidP="00CF7CE1">
      <w:pPr>
        <w:pStyle w:val="Default"/>
        <w:jc w:val="center"/>
        <w:rPr>
          <w:rFonts w:asciiTheme="minorHAnsi" w:hAnsiTheme="minorHAnsi" w:cstheme="minorHAnsi"/>
          <w:color w:val="000000" w:themeColor="text1"/>
          <w:sz w:val="16"/>
          <w:szCs w:val="16"/>
        </w:rPr>
      </w:pPr>
      <w:r w:rsidRPr="00F03D96">
        <w:rPr>
          <w:rFonts w:asciiTheme="minorHAnsi" w:hAnsiTheme="minorHAnsi" w:cstheme="minorHAnsi"/>
          <w:color w:val="auto"/>
          <w:sz w:val="16"/>
          <w:szCs w:val="16"/>
        </w:rPr>
        <w:t xml:space="preserve">Os puntos </w:t>
      </w:r>
      <w:r w:rsidR="00F03D96" w:rsidRPr="00F03D96">
        <w:rPr>
          <w:rFonts w:asciiTheme="minorHAnsi" w:hAnsiTheme="minorHAnsi" w:cstheme="minorHAnsi"/>
          <w:color w:val="auto"/>
          <w:sz w:val="16"/>
          <w:szCs w:val="16"/>
        </w:rPr>
        <w:t>vermellos</w:t>
      </w:r>
      <w:r w:rsidRPr="00F03D96">
        <w:rPr>
          <w:rFonts w:asciiTheme="minorHAnsi" w:hAnsiTheme="minorHAnsi" w:cstheme="minorHAnsi"/>
          <w:color w:val="auto"/>
          <w:sz w:val="16"/>
          <w:szCs w:val="16"/>
        </w:rPr>
        <w:t xml:space="preserve"> refírense á ubicación dos </w:t>
      </w:r>
      <w:r w:rsidR="00F03D96" w:rsidRPr="00F03D96">
        <w:rPr>
          <w:rFonts w:asciiTheme="minorHAnsi" w:hAnsiTheme="minorHAnsi" w:cstheme="minorHAnsi"/>
          <w:color w:val="auto"/>
          <w:sz w:val="16"/>
          <w:szCs w:val="16"/>
        </w:rPr>
        <w:t>4</w:t>
      </w:r>
      <w:r w:rsidRPr="00F03D96">
        <w:rPr>
          <w:rFonts w:asciiTheme="minorHAnsi" w:hAnsiTheme="minorHAnsi" w:cstheme="minorHAnsi"/>
          <w:color w:val="auto"/>
          <w:sz w:val="16"/>
          <w:szCs w:val="16"/>
        </w:rPr>
        <w:t xml:space="preserve"> aeroxeradores.</w:t>
      </w:r>
    </w:p>
    <w:p w14:paraId="3383CBBB" w14:textId="5093491B" w:rsidR="00E3508F" w:rsidRDefault="00E3508F" w:rsidP="00CF7CE1">
      <w:pPr>
        <w:pStyle w:val="Default"/>
        <w:jc w:val="center"/>
        <w:rPr>
          <w:rFonts w:asciiTheme="minorHAnsi" w:hAnsiTheme="minorHAnsi" w:cstheme="minorHAnsi"/>
          <w:color w:val="auto"/>
          <w:sz w:val="16"/>
          <w:szCs w:val="16"/>
        </w:rPr>
      </w:pPr>
    </w:p>
    <w:p w14:paraId="622B9FBF" w14:textId="3D687BA8" w:rsidR="00E3508F" w:rsidRDefault="00E3508F" w:rsidP="00CF7CE1">
      <w:pPr>
        <w:pStyle w:val="Default"/>
        <w:jc w:val="center"/>
        <w:rPr>
          <w:rFonts w:asciiTheme="minorHAnsi" w:hAnsiTheme="minorHAnsi" w:cstheme="minorHAnsi"/>
          <w:color w:val="auto"/>
          <w:sz w:val="16"/>
          <w:szCs w:val="16"/>
        </w:rPr>
      </w:pPr>
      <w:r w:rsidRPr="00E3508F">
        <w:rPr>
          <w:rFonts w:ascii="Calibri" w:hAnsi="Calibri"/>
          <w:noProof/>
          <w:lang w:eastAsia="es-ES"/>
        </w:rPr>
        <mc:AlternateContent>
          <mc:Choice Requires="wps">
            <w:drawing>
              <wp:anchor distT="0" distB="0" distL="114300" distR="114300" simplePos="0" relativeHeight="251659264" behindDoc="0" locked="0" layoutInCell="1" allowOverlap="1" wp14:anchorId="7C58F377" wp14:editId="7CF547A5">
                <wp:simplePos x="0" y="0"/>
                <wp:positionH relativeFrom="column">
                  <wp:align>center</wp:align>
                </wp:positionH>
                <wp:positionV relativeFrom="paragraph">
                  <wp:posOffset>0</wp:posOffset>
                </wp:positionV>
                <wp:extent cx="5206365" cy="559558"/>
                <wp:effectExtent l="0" t="0" r="13335" b="1206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6365" cy="559558"/>
                        </a:xfrm>
                        <a:prstGeom prst="rect">
                          <a:avLst/>
                        </a:prstGeom>
                        <a:solidFill>
                          <a:srgbClr val="FFFFFF"/>
                        </a:solidFill>
                        <a:ln w="9525">
                          <a:solidFill>
                            <a:srgbClr val="000000"/>
                          </a:solidFill>
                          <a:miter lim="800000"/>
                          <a:headEnd/>
                          <a:tailEnd/>
                        </a:ln>
                      </wps:spPr>
                      <wps:txbx>
                        <w:txbxContent>
                          <w:p w14:paraId="4743618F" w14:textId="1D01B085" w:rsidR="00D06ADA" w:rsidRDefault="00D06ADA" w:rsidP="00E3508F">
                            <w:pPr>
                              <w:pStyle w:val="Default"/>
                              <w:spacing w:before="120"/>
                              <w:jc w:val="both"/>
                              <w:rPr>
                                <w:rFonts w:ascii="Calibri" w:hAnsi="Calibri"/>
                              </w:rPr>
                            </w:pPr>
                            <w:r>
                              <w:rPr>
                                <w:rFonts w:ascii="Calibri" w:hAnsi="Calibri"/>
                              </w:rPr>
                              <w:t xml:space="preserve">O EsIA ignora ésta clasificación de sensibilidade ambiental eólica e polo tanto </w:t>
                            </w:r>
                            <w:r w:rsidRPr="00E83AEA">
                              <w:rPr>
                                <w:rFonts w:ascii="Calibri" w:hAnsi="Calibri"/>
                              </w:rPr>
                              <w:t>non avalía os efectos sobre a zonificación ambi</w:t>
                            </w:r>
                            <w:r>
                              <w:rPr>
                                <w:rFonts w:ascii="Calibri" w:hAnsi="Calibri"/>
                              </w:rPr>
                              <w:t>e</w:t>
                            </w:r>
                            <w:r w:rsidRPr="00E83AEA">
                              <w:rPr>
                                <w:rFonts w:ascii="Calibri" w:hAnsi="Calibri"/>
                              </w:rPr>
                              <w:t>ntal para enerxías renovables</w:t>
                            </w:r>
                          </w:p>
                          <w:p w14:paraId="68C353EA" w14:textId="7D3B8551" w:rsidR="00D06ADA" w:rsidRDefault="00D06AD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0;margin-top:0;width:409.95pt;height:44.05pt;z-index:251659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">
                <v:textbox>
                  <w:txbxContent>
                    <w:p w14:paraId="4743618F" w14:textId="1D01B085" w:rsidR="00D06ADA" w:rsidRDefault="00D06ADA" w:rsidP="00E3508F">
                      <w:pPr>
                        <w:pStyle w:val="Default"/>
                        <w:spacing w:before="120"/>
                        <w:jc w:val="both"/>
                        <w:rPr>
                          <w:rFonts w:ascii="Calibri" w:hAnsi="Calibri"/>
                        </w:rPr>
                      </w:pPr>
                      <w:r>
                        <w:rPr>
                          <w:rFonts w:ascii="Calibri" w:hAnsi="Calibri"/>
                        </w:rPr>
                        <w:t xml:space="preserve">O EsIA ignora ésta clasificación de sensibilidade ambiental eólica e polo tanto </w:t>
                      </w:r>
                      <w:r w:rsidRPr="00E83AEA">
                        <w:rPr>
                          <w:rFonts w:ascii="Calibri" w:hAnsi="Calibri"/>
                        </w:rPr>
                        <w:t>non avalía os efectos sobre a zonificación ambi</w:t>
                      </w:r>
                      <w:r>
                        <w:rPr>
                          <w:rFonts w:ascii="Calibri" w:hAnsi="Calibri"/>
                        </w:rPr>
                        <w:t>e</w:t>
                      </w:r>
                      <w:r w:rsidRPr="00E83AEA">
                        <w:rPr>
                          <w:rFonts w:ascii="Calibri" w:hAnsi="Calibri"/>
                        </w:rPr>
                        <w:t>ntal para enerxías renovables</w:t>
                      </w:r>
                    </w:p>
                    <w:p w14:paraId="68C353EA" w14:textId="7D3B8551" w:rsidR="00D06ADA" w:rsidRDefault="00D06ADA"/>
                  </w:txbxContent>
                </v:textbox>
              </v:shape>
            </w:pict>
          </mc:Fallback>
        </mc:AlternateContent>
      </w:r>
    </w:p>
    <w:p w14:paraId="3E9C41EC" w14:textId="77777777" w:rsidR="00E3508F" w:rsidRDefault="00E3508F" w:rsidP="00CF7CE1">
      <w:pPr>
        <w:pStyle w:val="Default"/>
        <w:jc w:val="center"/>
        <w:rPr>
          <w:rFonts w:asciiTheme="minorHAnsi" w:hAnsiTheme="minorHAnsi" w:cstheme="minorHAnsi"/>
          <w:color w:val="auto"/>
          <w:sz w:val="16"/>
          <w:szCs w:val="16"/>
        </w:rPr>
      </w:pPr>
    </w:p>
    <w:p w14:paraId="0B99C4EB" w14:textId="77777777" w:rsidR="00E3508F" w:rsidRDefault="00E3508F" w:rsidP="00CF7CE1">
      <w:pPr>
        <w:pStyle w:val="Default"/>
        <w:jc w:val="center"/>
        <w:rPr>
          <w:rFonts w:asciiTheme="minorHAnsi" w:hAnsiTheme="minorHAnsi" w:cstheme="minorHAnsi"/>
          <w:color w:val="auto"/>
          <w:sz w:val="16"/>
          <w:szCs w:val="16"/>
        </w:rPr>
      </w:pPr>
    </w:p>
    <w:p w14:paraId="2B265B89" w14:textId="77777777" w:rsidR="00E3508F" w:rsidRDefault="00E3508F" w:rsidP="00CF7CE1">
      <w:pPr>
        <w:pStyle w:val="Default"/>
        <w:jc w:val="center"/>
        <w:rPr>
          <w:rFonts w:asciiTheme="minorHAnsi" w:hAnsiTheme="minorHAnsi" w:cstheme="minorHAnsi"/>
          <w:color w:val="auto"/>
          <w:sz w:val="16"/>
          <w:szCs w:val="16"/>
        </w:rPr>
      </w:pPr>
    </w:p>
    <w:p w14:paraId="799271F4" w14:textId="77777777" w:rsidR="00E3508F" w:rsidRDefault="00E3508F" w:rsidP="00CF7CE1">
      <w:pPr>
        <w:pStyle w:val="Default"/>
        <w:jc w:val="center"/>
        <w:rPr>
          <w:rFonts w:asciiTheme="minorHAnsi" w:hAnsiTheme="minorHAnsi" w:cstheme="minorHAnsi"/>
          <w:color w:val="auto"/>
          <w:sz w:val="16"/>
          <w:szCs w:val="16"/>
        </w:rPr>
      </w:pPr>
    </w:p>
    <w:p w14:paraId="6FCA6E27" w14:textId="77777777" w:rsidR="001F2605" w:rsidRDefault="001F2605" w:rsidP="00CF7CE1">
      <w:pPr>
        <w:pStyle w:val="Default"/>
        <w:jc w:val="center"/>
        <w:rPr>
          <w:rFonts w:asciiTheme="minorHAnsi" w:hAnsiTheme="minorHAnsi" w:cstheme="minorHAnsi"/>
          <w:color w:val="auto"/>
          <w:sz w:val="16"/>
          <w:szCs w:val="16"/>
        </w:rPr>
      </w:pPr>
    </w:p>
    <w:p w14:paraId="43F0C72D" w14:textId="77777777" w:rsidR="001F2605" w:rsidRDefault="001F2605" w:rsidP="00CF7CE1">
      <w:pPr>
        <w:pStyle w:val="Default"/>
        <w:jc w:val="center"/>
        <w:rPr>
          <w:rFonts w:asciiTheme="minorHAnsi" w:hAnsiTheme="minorHAnsi" w:cstheme="minorHAnsi"/>
          <w:color w:val="auto"/>
          <w:sz w:val="16"/>
          <w:szCs w:val="16"/>
        </w:rPr>
      </w:pPr>
    </w:p>
    <w:p w14:paraId="6B6499D6" w14:textId="70AF9617" w:rsidR="00B358A4" w:rsidRPr="009B1BBF" w:rsidRDefault="00B358A4" w:rsidP="00B358A4">
      <w:pPr>
        <w:pStyle w:val="Default"/>
        <w:shd w:val="clear" w:color="auto" w:fill="C6D9F1"/>
        <w:spacing w:before="120"/>
        <w:ind w:left="1843" w:hanging="1843"/>
        <w:jc w:val="both"/>
        <w:outlineLvl w:val="0"/>
        <w:rPr>
          <w:rFonts w:ascii="Calibri" w:hAnsi="Calibri" w:cs="Calibri"/>
          <w:b/>
          <w:bCs/>
        </w:rPr>
      </w:pPr>
      <w:bookmarkStart w:id="65" w:name="_Toc132510962"/>
      <w:r w:rsidRPr="001F2605">
        <w:rPr>
          <w:rFonts w:ascii="Calibri" w:hAnsi="Calibri" w:cs="Calibri"/>
          <w:b/>
          <w:bCs/>
        </w:rPr>
        <w:t>ALEGACIÓN 2</w:t>
      </w:r>
      <w:r w:rsidR="00554BDF">
        <w:rPr>
          <w:rFonts w:ascii="Calibri" w:hAnsi="Calibri" w:cs="Calibri"/>
          <w:b/>
          <w:bCs/>
        </w:rPr>
        <w:t>3</w:t>
      </w:r>
      <w:r w:rsidR="00F3539A" w:rsidRPr="001F2605">
        <w:rPr>
          <w:rFonts w:ascii="Calibri" w:hAnsi="Calibri" w:cs="Calibri"/>
          <w:b/>
          <w:bCs/>
        </w:rPr>
        <w:t>.</w:t>
      </w:r>
      <w:r w:rsidRPr="001F2605">
        <w:rPr>
          <w:rFonts w:ascii="Calibri" w:hAnsi="Calibri" w:cs="Calibri"/>
          <w:b/>
          <w:bCs/>
        </w:rPr>
        <w:t>- As afeccións aos dereitos</w:t>
      </w:r>
      <w:r>
        <w:rPr>
          <w:rFonts w:ascii="Calibri" w:hAnsi="Calibri" w:cs="Calibri"/>
          <w:b/>
          <w:bCs/>
        </w:rPr>
        <w:t xml:space="preserve"> mineiros da empresa Aguasana non están avaliados.</w:t>
      </w:r>
      <w:bookmarkEnd w:id="65"/>
    </w:p>
    <w:p w14:paraId="1AF1FC9C" w14:textId="4C312E30" w:rsidR="00B358A4" w:rsidRPr="001F2605" w:rsidRDefault="00B358A4" w:rsidP="00D46D97">
      <w:pPr>
        <w:pStyle w:val="Default"/>
        <w:spacing w:before="120"/>
        <w:jc w:val="both"/>
        <w:rPr>
          <w:rFonts w:ascii="Calibri" w:hAnsi="Calibri"/>
        </w:rPr>
      </w:pPr>
      <w:r w:rsidRPr="001F2605">
        <w:rPr>
          <w:rFonts w:ascii="Calibri" w:hAnsi="Calibri"/>
        </w:rPr>
        <w:t>O P.E. Tor</w:t>
      </w:r>
      <w:r w:rsidR="001F2605" w:rsidRPr="001F2605">
        <w:rPr>
          <w:rFonts w:ascii="Calibri" w:hAnsi="Calibri"/>
        </w:rPr>
        <w:t>r</w:t>
      </w:r>
      <w:r w:rsidRPr="001F2605">
        <w:rPr>
          <w:rFonts w:ascii="Calibri" w:hAnsi="Calibri"/>
        </w:rPr>
        <w:t>oña</w:t>
      </w:r>
      <w:r w:rsidR="001F2605" w:rsidRPr="001F2605">
        <w:rPr>
          <w:rFonts w:ascii="Calibri" w:hAnsi="Calibri"/>
        </w:rPr>
        <w:t xml:space="preserve"> I</w:t>
      </w:r>
      <w:r w:rsidRPr="001F2605">
        <w:rPr>
          <w:rFonts w:ascii="Calibri" w:hAnsi="Calibri"/>
        </w:rPr>
        <w:t>, invade a concesión mineira da empresa Aguasana, segundo queda reflexado na páxina 98 do EsIA:</w:t>
      </w:r>
    </w:p>
    <w:p w14:paraId="41D546B3" w14:textId="77777777" w:rsidR="00B358A4" w:rsidRDefault="00B358A4" w:rsidP="00B358A4">
      <w:pPr>
        <w:autoSpaceDE w:val="0"/>
        <w:autoSpaceDN w:val="0"/>
        <w:adjustRightInd w:val="0"/>
        <w:spacing w:after="0" w:line="240" w:lineRule="auto"/>
        <w:rPr>
          <w:rFonts w:ascii="Calibri,Bold" w:hAnsi="Calibri,Bold" w:cs="Calibri,Bold"/>
          <w:b/>
          <w:bCs/>
          <w:sz w:val="24"/>
          <w:szCs w:val="24"/>
          <w:highlight w:val="yellow"/>
          <w:lang w:eastAsia="es-ES"/>
        </w:rPr>
      </w:pPr>
    </w:p>
    <w:p w14:paraId="150A93B0" w14:textId="5CD5C9E9" w:rsidR="001F2605" w:rsidRPr="007A60AB" w:rsidRDefault="001F2605" w:rsidP="007A60AB">
      <w:pPr>
        <w:pStyle w:val="Textoindependiente"/>
        <w:kinsoku w:val="0"/>
        <w:overflowPunct w:val="0"/>
        <w:spacing w:line="245" w:lineRule="exact"/>
        <w:ind w:left="708"/>
        <w:jc w:val="both"/>
        <w:rPr>
          <w:i/>
          <w:color w:val="000000"/>
          <w:sz w:val="20"/>
          <w:szCs w:val="20"/>
        </w:rPr>
      </w:pPr>
      <w:r w:rsidRPr="007A60AB">
        <w:rPr>
          <w:i/>
          <w:color w:val="231F20"/>
          <w:sz w:val="20"/>
          <w:szCs w:val="20"/>
        </w:rPr>
        <w:t>En</w:t>
      </w:r>
      <w:r w:rsidRPr="007A60AB">
        <w:rPr>
          <w:i/>
          <w:color w:val="231F20"/>
          <w:spacing w:val="25"/>
          <w:sz w:val="20"/>
          <w:szCs w:val="20"/>
        </w:rPr>
        <w:t xml:space="preserve"> </w:t>
      </w:r>
      <w:r w:rsidRPr="007A60AB">
        <w:rPr>
          <w:i/>
          <w:color w:val="231F20"/>
          <w:sz w:val="20"/>
          <w:szCs w:val="20"/>
        </w:rPr>
        <w:t>el</w:t>
      </w:r>
      <w:r w:rsidRPr="007A60AB">
        <w:rPr>
          <w:i/>
          <w:color w:val="231F20"/>
          <w:spacing w:val="21"/>
          <w:sz w:val="20"/>
          <w:szCs w:val="20"/>
        </w:rPr>
        <w:t xml:space="preserve"> </w:t>
      </w:r>
      <w:r w:rsidRPr="007A60AB">
        <w:rPr>
          <w:i/>
          <w:color w:val="231F20"/>
          <w:spacing w:val="-1"/>
          <w:sz w:val="20"/>
          <w:szCs w:val="20"/>
        </w:rPr>
        <w:t>ámbito</w:t>
      </w:r>
      <w:r w:rsidRPr="007A60AB">
        <w:rPr>
          <w:i/>
          <w:color w:val="231F20"/>
          <w:spacing w:val="22"/>
          <w:sz w:val="20"/>
          <w:szCs w:val="20"/>
        </w:rPr>
        <w:t xml:space="preserve"> </w:t>
      </w:r>
      <w:r w:rsidRPr="007A60AB">
        <w:rPr>
          <w:i/>
          <w:color w:val="231F20"/>
          <w:sz w:val="20"/>
          <w:szCs w:val="20"/>
        </w:rPr>
        <w:t>de</w:t>
      </w:r>
      <w:r w:rsidRPr="007A60AB">
        <w:rPr>
          <w:i/>
          <w:color w:val="231F20"/>
          <w:spacing w:val="22"/>
          <w:sz w:val="20"/>
          <w:szCs w:val="20"/>
        </w:rPr>
        <w:t xml:space="preserve"> </w:t>
      </w:r>
      <w:r w:rsidRPr="007A60AB">
        <w:rPr>
          <w:i/>
          <w:color w:val="231F20"/>
          <w:spacing w:val="-1"/>
          <w:sz w:val="20"/>
          <w:szCs w:val="20"/>
        </w:rPr>
        <w:t>actuación</w:t>
      </w:r>
      <w:r w:rsidRPr="007A60AB">
        <w:rPr>
          <w:i/>
          <w:color w:val="231F20"/>
          <w:spacing w:val="25"/>
          <w:sz w:val="20"/>
          <w:szCs w:val="20"/>
        </w:rPr>
        <w:t xml:space="preserve"> </w:t>
      </w:r>
      <w:r w:rsidRPr="007A60AB">
        <w:rPr>
          <w:i/>
          <w:color w:val="231F20"/>
          <w:spacing w:val="-1"/>
          <w:sz w:val="20"/>
          <w:szCs w:val="20"/>
        </w:rPr>
        <w:t>está</w:t>
      </w:r>
      <w:r w:rsidRPr="007A60AB">
        <w:rPr>
          <w:i/>
          <w:color w:val="231F20"/>
          <w:spacing w:val="25"/>
          <w:sz w:val="20"/>
          <w:szCs w:val="20"/>
        </w:rPr>
        <w:t xml:space="preserve"> </w:t>
      </w:r>
      <w:r w:rsidRPr="007A60AB">
        <w:rPr>
          <w:i/>
          <w:color w:val="231F20"/>
          <w:spacing w:val="-1"/>
          <w:sz w:val="20"/>
          <w:szCs w:val="20"/>
        </w:rPr>
        <w:t>localizado</w:t>
      </w:r>
      <w:r w:rsidRPr="007A60AB">
        <w:rPr>
          <w:i/>
          <w:color w:val="231F20"/>
          <w:spacing w:val="22"/>
          <w:sz w:val="20"/>
          <w:szCs w:val="20"/>
        </w:rPr>
        <w:t xml:space="preserve"> </w:t>
      </w:r>
      <w:r w:rsidRPr="007A60AB">
        <w:rPr>
          <w:i/>
          <w:color w:val="231F20"/>
          <w:sz w:val="20"/>
          <w:szCs w:val="20"/>
        </w:rPr>
        <w:t>el</w:t>
      </w:r>
      <w:r w:rsidRPr="007A60AB">
        <w:rPr>
          <w:i/>
          <w:color w:val="231F20"/>
          <w:spacing w:val="23"/>
          <w:sz w:val="20"/>
          <w:szCs w:val="20"/>
        </w:rPr>
        <w:t xml:space="preserve"> </w:t>
      </w:r>
      <w:r w:rsidRPr="007A60AB">
        <w:rPr>
          <w:i/>
          <w:color w:val="231F20"/>
          <w:spacing w:val="-1"/>
          <w:sz w:val="20"/>
          <w:szCs w:val="20"/>
        </w:rPr>
        <w:t>aprovechamiento</w:t>
      </w:r>
      <w:r w:rsidRPr="007A60AB">
        <w:rPr>
          <w:i/>
          <w:color w:val="231F20"/>
          <w:spacing w:val="22"/>
          <w:sz w:val="20"/>
          <w:szCs w:val="20"/>
        </w:rPr>
        <w:t xml:space="preserve"> </w:t>
      </w:r>
      <w:r w:rsidRPr="007A60AB">
        <w:rPr>
          <w:i/>
          <w:color w:val="231F20"/>
          <w:sz w:val="20"/>
          <w:szCs w:val="20"/>
        </w:rPr>
        <w:t>de</w:t>
      </w:r>
      <w:r w:rsidRPr="007A60AB">
        <w:rPr>
          <w:i/>
          <w:color w:val="231F20"/>
          <w:spacing w:val="22"/>
          <w:sz w:val="20"/>
          <w:szCs w:val="20"/>
        </w:rPr>
        <w:t xml:space="preserve"> </w:t>
      </w:r>
      <w:r w:rsidRPr="007A60AB">
        <w:rPr>
          <w:i/>
          <w:color w:val="231F20"/>
          <w:spacing w:val="-1"/>
          <w:sz w:val="20"/>
          <w:szCs w:val="20"/>
        </w:rPr>
        <w:t>aguas</w:t>
      </w:r>
      <w:r w:rsidRPr="007A60AB">
        <w:rPr>
          <w:i/>
          <w:color w:val="231F20"/>
          <w:spacing w:val="25"/>
          <w:sz w:val="20"/>
          <w:szCs w:val="20"/>
        </w:rPr>
        <w:t xml:space="preserve"> </w:t>
      </w:r>
      <w:r w:rsidRPr="007A60AB">
        <w:rPr>
          <w:i/>
          <w:color w:val="231F20"/>
          <w:spacing w:val="-1"/>
          <w:sz w:val="20"/>
          <w:szCs w:val="20"/>
        </w:rPr>
        <w:t>minerales,</w:t>
      </w:r>
      <w:r w:rsidR="007A60AB">
        <w:rPr>
          <w:i/>
          <w:color w:val="231F20"/>
          <w:spacing w:val="-1"/>
          <w:sz w:val="20"/>
          <w:szCs w:val="20"/>
        </w:rPr>
        <w:t xml:space="preserve"> </w:t>
      </w:r>
      <w:r w:rsidRPr="007A60AB">
        <w:rPr>
          <w:i/>
          <w:color w:val="231F20"/>
          <w:spacing w:val="-1"/>
          <w:sz w:val="20"/>
          <w:szCs w:val="20"/>
        </w:rPr>
        <w:t>industriales</w:t>
      </w:r>
      <w:r w:rsidRPr="007A60AB">
        <w:rPr>
          <w:i/>
          <w:color w:val="231F20"/>
          <w:spacing w:val="36"/>
          <w:sz w:val="20"/>
          <w:szCs w:val="20"/>
        </w:rPr>
        <w:t xml:space="preserve"> </w:t>
      </w:r>
      <w:r w:rsidRPr="007A60AB">
        <w:rPr>
          <w:i/>
          <w:color w:val="231F20"/>
          <w:sz w:val="20"/>
          <w:szCs w:val="20"/>
        </w:rPr>
        <w:t>y</w:t>
      </w:r>
      <w:r w:rsidRPr="007A60AB">
        <w:rPr>
          <w:i/>
          <w:color w:val="231F20"/>
          <w:spacing w:val="37"/>
          <w:sz w:val="20"/>
          <w:szCs w:val="20"/>
        </w:rPr>
        <w:t xml:space="preserve"> </w:t>
      </w:r>
      <w:r w:rsidRPr="007A60AB">
        <w:rPr>
          <w:i/>
          <w:color w:val="231F20"/>
          <w:sz w:val="20"/>
          <w:szCs w:val="20"/>
        </w:rPr>
        <w:t>de</w:t>
      </w:r>
      <w:r w:rsidRPr="007A60AB">
        <w:rPr>
          <w:i/>
          <w:color w:val="231F20"/>
          <w:spacing w:val="37"/>
          <w:sz w:val="20"/>
          <w:szCs w:val="20"/>
        </w:rPr>
        <w:t xml:space="preserve"> </w:t>
      </w:r>
      <w:r w:rsidRPr="007A60AB">
        <w:rPr>
          <w:i/>
          <w:color w:val="231F20"/>
          <w:spacing w:val="-1"/>
          <w:sz w:val="20"/>
          <w:szCs w:val="20"/>
        </w:rPr>
        <w:t>manantial</w:t>
      </w:r>
      <w:r w:rsidRPr="007A60AB">
        <w:rPr>
          <w:i/>
          <w:color w:val="231F20"/>
          <w:spacing w:val="38"/>
          <w:sz w:val="20"/>
          <w:szCs w:val="20"/>
        </w:rPr>
        <w:t xml:space="preserve"> </w:t>
      </w:r>
      <w:r w:rsidRPr="007A60AB">
        <w:rPr>
          <w:i/>
          <w:color w:val="231F20"/>
          <w:spacing w:val="-1"/>
          <w:sz w:val="20"/>
          <w:szCs w:val="20"/>
        </w:rPr>
        <w:t>Aguasana</w:t>
      </w:r>
      <w:r w:rsidRPr="007A60AB">
        <w:rPr>
          <w:i/>
          <w:color w:val="231F20"/>
          <w:spacing w:val="38"/>
          <w:sz w:val="20"/>
          <w:szCs w:val="20"/>
        </w:rPr>
        <w:t xml:space="preserve"> </w:t>
      </w:r>
      <w:r w:rsidRPr="007A60AB">
        <w:rPr>
          <w:i/>
          <w:color w:val="231F20"/>
          <w:spacing w:val="-1"/>
          <w:sz w:val="20"/>
          <w:szCs w:val="20"/>
        </w:rPr>
        <w:t>con</w:t>
      </w:r>
      <w:r w:rsidRPr="007A60AB">
        <w:rPr>
          <w:i/>
          <w:color w:val="231F20"/>
          <w:spacing w:val="40"/>
          <w:sz w:val="20"/>
          <w:szCs w:val="20"/>
        </w:rPr>
        <w:t xml:space="preserve"> </w:t>
      </w:r>
      <w:r w:rsidRPr="007A60AB">
        <w:rPr>
          <w:i/>
          <w:color w:val="231F20"/>
          <w:spacing w:val="-1"/>
          <w:sz w:val="20"/>
          <w:szCs w:val="20"/>
        </w:rPr>
        <w:t>registro</w:t>
      </w:r>
      <w:r w:rsidRPr="007A60AB">
        <w:rPr>
          <w:i/>
          <w:color w:val="231F20"/>
          <w:spacing w:val="40"/>
          <w:sz w:val="20"/>
          <w:szCs w:val="20"/>
        </w:rPr>
        <w:t xml:space="preserve"> </w:t>
      </w:r>
      <w:r w:rsidRPr="007A60AB">
        <w:rPr>
          <w:i/>
          <w:color w:val="231F20"/>
          <w:spacing w:val="-1"/>
          <w:sz w:val="20"/>
          <w:szCs w:val="20"/>
        </w:rPr>
        <w:t>PO/B/01001</w:t>
      </w:r>
      <w:r w:rsidRPr="007A60AB">
        <w:rPr>
          <w:i/>
          <w:color w:val="231F20"/>
          <w:spacing w:val="39"/>
          <w:sz w:val="20"/>
          <w:szCs w:val="20"/>
        </w:rPr>
        <w:t xml:space="preserve"> </w:t>
      </w:r>
      <w:r w:rsidRPr="007A60AB">
        <w:rPr>
          <w:i/>
          <w:color w:val="231F20"/>
          <w:spacing w:val="-1"/>
          <w:sz w:val="20"/>
          <w:szCs w:val="20"/>
        </w:rPr>
        <w:t>Este</w:t>
      </w:r>
      <w:r w:rsidRPr="007A60AB">
        <w:rPr>
          <w:i/>
          <w:color w:val="231F20"/>
          <w:spacing w:val="40"/>
          <w:sz w:val="20"/>
          <w:szCs w:val="20"/>
        </w:rPr>
        <w:t xml:space="preserve"> </w:t>
      </w:r>
      <w:r w:rsidRPr="007A60AB">
        <w:rPr>
          <w:i/>
          <w:color w:val="231F20"/>
          <w:spacing w:val="-1"/>
          <w:sz w:val="20"/>
          <w:szCs w:val="20"/>
        </w:rPr>
        <w:t>tipo</w:t>
      </w:r>
      <w:r w:rsidRPr="007A60AB">
        <w:rPr>
          <w:i/>
          <w:color w:val="231F20"/>
          <w:spacing w:val="38"/>
          <w:sz w:val="20"/>
          <w:szCs w:val="20"/>
        </w:rPr>
        <w:t xml:space="preserve"> </w:t>
      </w:r>
      <w:r w:rsidRPr="007A60AB">
        <w:rPr>
          <w:i/>
          <w:color w:val="231F20"/>
          <w:spacing w:val="-2"/>
          <w:sz w:val="20"/>
          <w:szCs w:val="20"/>
        </w:rPr>
        <w:t>de</w:t>
      </w:r>
      <w:r w:rsidRPr="007A60AB">
        <w:rPr>
          <w:i/>
          <w:color w:val="231F20"/>
          <w:spacing w:val="53"/>
          <w:sz w:val="20"/>
          <w:szCs w:val="20"/>
        </w:rPr>
        <w:t xml:space="preserve"> </w:t>
      </w:r>
      <w:r w:rsidRPr="007A60AB">
        <w:rPr>
          <w:i/>
          <w:color w:val="231F20"/>
          <w:spacing w:val="-1"/>
          <w:sz w:val="20"/>
          <w:szCs w:val="20"/>
        </w:rPr>
        <w:t>aprovechamientos</w:t>
      </w:r>
      <w:r w:rsidRPr="007A60AB">
        <w:rPr>
          <w:i/>
          <w:color w:val="231F20"/>
          <w:spacing w:val="8"/>
          <w:sz w:val="20"/>
          <w:szCs w:val="20"/>
        </w:rPr>
        <w:t xml:space="preserve"> </w:t>
      </w:r>
      <w:r w:rsidRPr="007A60AB">
        <w:rPr>
          <w:i/>
          <w:color w:val="231F20"/>
          <w:spacing w:val="-1"/>
          <w:sz w:val="20"/>
          <w:szCs w:val="20"/>
        </w:rPr>
        <w:t>establecen</w:t>
      </w:r>
      <w:r w:rsidRPr="007A60AB">
        <w:rPr>
          <w:i/>
          <w:color w:val="231F20"/>
          <w:spacing w:val="8"/>
          <w:sz w:val="20"/>
          <w:szCs w:val="20"/>
        </w:rPr>
        <w:t xml:space="preserve"> </w:t>
      </w:r>
      <w:r w:rsidRPr="007A60AB">
        <w:rPr>
          <w:i/>
          <w:color w:val="231F20"/>
          <w:spacing w:val="-1"/>
          <w:sz w:val="20"/>
          <w:szCs w:val="20"/>
        </w:rPr>
        <w:t>ámbitos</w:t>
      </w:r>
      <w:r w:rsidRPr="007A60AB">
        <w:rPr>
          <w:i/>
          <w:color w:val="231F20"/>
          <w:spacing w:val="8"/>
          <w:sz w:val="20"/>
          <w:szCs w:val="20"/>
        </w:rPr>
        <w:t xml:space="preserve"> </w:t>
      </w:r>
      <w:r w:rsidRPr="007A60AB">
        <w:rPr>
          <w:i/>
          <w:color w:val="231F20"/>
          <w:sz w:val="20"/>
          <w:szCs w:val="20"/>
        </w:rPr>
        <w:t>de</w:t>
      </w:r>
      <w:r w:rsidRPr="007A60AB">
        <w:rPr>
          <w:i/>
          <w:color w:val="231F20"/>
          <w:spacing w:val="8"/>
          <w:sz w:val="20"/>
          <w:szCs w:val="20"/>
        </w:rPr>
        <w:t xml:space="preserve"> </w:t>
      </w:r>
      <w:r w:rsidRPr="007A60AB">
        <w:rPr>
          <w:i/>
          <w:color w:val="231F20"/>
          <w:spacing w:val="-1"/>
          <w:sz w:val="20"/>
          <w:szCs w:val="20"/>
        </w:rPr>
        <w:t>protección</w:t>
      </w:r>
      <w:r w:rsidRPr="007A60AB">
        <w:rPr>
          <w:i/>
          <w:color w:val="231F20"/>
          <w:spacing w:val="8"/>
          <w:sz w:val="20"/>
          <w:szCs w:val="20"/>
        </w:rPr>
        <w:t xml:space="preserve"> </w:t>
      </w:r>
      <w:r w:rsidRPr="007A60AB">
        <w:rPr>
          <w:i/>
          <w:color w:val="231F20"/>
          <w:spacing w:val="-1"/>
          <w:sz w:val="20"/>
          <w:szCs w:val="20"/>
        </w:rPr>
        <w:t>conforme</w:t>
      </w:r>
      <w:r w:rsidRPr="007A60AB">
        <w:rPr>
          <w:i/>
          <w:color w:val="231F20"/>
          <w:spacing w:val="8"/>
          <w:sz w:val="20"/>
          <w:szCs w:val="20"/>
        </w:rPr>
        <w:t xml:space="preserve"> </w:t>
      </w:r>
      <w:r w:rsidRPr="007A60AB">
        <w:rPr>
          <w:i/>
          <w:color w:val="231F20"/>
          <w:spacing w:val="-1"/>
          <w:sz w:val="20"/>
          <w:szCs w:val="20"/>
        </w:rPr>
        <w:t>con</w:t>
      </w:r>
      <w:r w:rsidRPr="007A60AB">
        <w:rPr>
          <w:i/>
          <w:color w:val="231F20"/>
          <w:spacing w:val="5"/>
          <w:sz w:val="20"/>
          <w:szCs w:val="20"/>
        </w:rPr>
        <w:t xml:space="preserve"> </w:t>
      </w:r>
      <w:r w:rsidRPr="007A60AB">
        <w:rPr>
          <w:i/>
          <w:color w:val="231F20"/>
          <w:spacing w:val="-1"/>
          <w:sz w:val="20"/>
          <w:szCs w:val="20"/>
        </w:rPr>
        <w:t>lo</w:t>
      </w:r>
      <w:r w:rsidRPr="007A60AB">
        <w:rPr>
          <w:i/>
          <w:color w:val="231F20"/>
          <w:spacing w:val="8"/>
          <w:sz w:val="20"/>
          <w:szCs w:val="20"/>
        </w:rPr>
        <w:t xml:space="preserve"> </w:t>
      </w:r>
      <w:r w:rsidRPr="007A60AB">
        <w:rPr>
          <w:i/>
          <w:color w:val="231F20"/>
          <w:spacing w:val="-1"/>
          <w:sz w:val="20"/>
          <w:szCs w:val="20"/>
        </w:rPr>
        <w:t>establecido</w:t>
      </w:r>
      <w:r w:rsidRPr="007A60AB">
        <w:rPr>
          <w:i/>
          <w:color w:val="231F20"/>
          <w:spacing w:val="8"/>
          <w:sz w:val="20"/>
          <w:szCs w:val="20"/>
        </w:rPr>
        <w:t xml:space="preserve"> </w:t>
      </w:r>
      <w:r w:rsidRPr="007A60AB">
        <w:rPr>
          <w:i/>
          <w:color w:val="231F20"/>
          <w:spacing w:val="-1"/>
          <w:sz w:val="20"/>
          <w:szCs w:val="20"/>
        </w:rPr>
        <w:t>en</w:t>
      </w:r>
      <w:r w:rsidRPr="007A60AB">
        <w:rPr>
          <w:i/>
          <w:color w:val="231F20"/>
          <w:spacing w:val="73"/>
          <w:sz w:val="20"/>
          <w:szCs w:val="20"/>
        </w:rPr>
        <w:t xml:space="preserve"> </w:t>
      </w:r>
      <w:r w:rsidRPr="007A60AB">
        <w:rPr>
          <w:i/>
          <w:color w:val="231F20"/>
          <w:spacing w:val="-1"/>
          <w:sz w:val="20"/>
          <w:szCs w:val="20"/>
        </w:rPr>
        <w:t>la</w:t>
      </w:r>
      <w:r w:rsidRPr="007A60AB">
        <w:rPr>
          <w:i/>
          <w:color w:val="231F20"/>
          <w:spacing w:val="39"/>
          <w:sz w:val="20"/>
          <w:szCs w:val="20"/>
        </w:rPr>
        <w:t xml:space="preserve"> </w:t>
      </w:r>
      <w:r w:rsidRPr="007A60AB">
        <w:rPr>
          <w:i/>
          <w:color w:val="231F20"/>
          <w:sz w:val="20"/>
          <w:szCs w:val="20"/>
        </w:rPr>
        <w:t>Ley</w:t>
      </w:r>
      <w:r w:rsidRPr="007A60AB">
        <w:rPr>
          <w:i/>
          <w:color w:val="231F20"/>
          <w:spacing w:val="36"/>
          <w:sz w:val="20"/>
          <w:szCs w:val="20"/>
        </w:rPr>
        <w:t xml:space="preserve"> </w:t>
      </w:r>
      <w:r w:rsidRPr="007A60AB">
        <w:rPr>
          <w:i/>
          <w:color w:val="231F20"/>
          <w:sz w:val="20"/>
          <w:szCs w:val="20"/>
        </w:rPr>
        <w:t>5/1995,</w:t>
      </w:r>
      <w:r w:rsidRPr="007A60AB">
        <w:rPr>
          <w:i/>
          <w:color w:val="231F20"/>
          <w:spacing w:val="39"/>
          <w:sz w:val="20"/>
          <w:szCs w:val="20"/>
        </w:rPr>
        <w:t xml:space="preserve"> </w:t>
      </w:r>
      <w:r w:rsidRPr="007A60AB">
        <w:rPr>
          <w:i/>
          <w:color w:val="231F20"/>
          <w:spacing w:val="-1"/>
          <w:sz w:val="20"/>
          <w:szCs w:val="20"/>
        </w:rPr>
        <w:t>de</w:t>
      </w:r>
      <w:r w:rsidRPr="007A60AB">
        <w:rPr>
          <w:i/>
          <w:color w:val="231F20"/>
          <w:spacing w:val="38"/>
          <w:sz w:val="20"/>
          <w:szCs w:val="20"/>
        </w:rPr>
        <w:t xml:space="preserve"> </w:t>
      </w:r>
      <w:r w:rsidRPr="007A60AB">
        <w:rPr>
          <w:i/>
          <w:color w:val="231F20"/>
          <w:sz w:val="20"/>
          <w:szCs w:val="20"/>
        </w:rPr>
        <w:t>7</w:t>
      </w:r>
      <w:r w:rsidRPr="007A60AB">
        <w:rPr>
          <w:i/>
          <w:color w:val="231F20"/>
          <w:spacing w:val="39"/>
          <w:sz w:val="20"/>
          <w:szCs w:val="20"/>
        </w:rPr>
        <w:t xml:space="preserve"> </w:t>
      </w:r>
      <w:r w:rsidRPr="007A60AB">
        <w:rPr>
          <w:i/>
          <w:color w:val="231F20"/>
          <w:spacing w:val="-1"/>
          <w:sz w:val="20"/>
          <w:szCs w:val="20"/>
        </w:rPr>
        <w:t>de</w:t>
      </w:r>
      <w:r w:rsidRPr="007A60AB">
        <w:rPr>
          <w:i/>
          <w:color w:val="231F20"/>
          <w:spacing w:val="40"/>
          <w:sz w:val="20"/>
          <w:szCs w:val="20"/>
        </w:rPr>
        <w:t xml:space="preserve"> </w:t>
      </w:r>
      <w:r w:rsidRPr="007A60AB">
        <w:rPr>
          <w:i/>
          <w:color w:val="231F20"/>
          <w:spacing w:val="-1"/>
          <w:sz w:val="20"/>
          <w:szCs w:val="20"/>
        </w:rPr>
        <w:t>junio,</w:t>
      </w:r>
      <w:r w:rsidRPr="007A60AB">
        <w:rPr>
          <w:i/>
          <w:color w:val="231F20"/>
          <w:spacing w:val="39"/>
          <w:sz w:val="20"/>
          <w:szCs w:val="20"/>
        </w:rPr>
        <w:t xml:space="preserve"> </w:t>
      </w:r>
      <w:r w:rsidRPr="007A60AB">
        <w:rPr>
          <w:i/>
          <w:color w:val="231F20"/>
          <w:sz w:val="20"/>
          <w:szCs w:val="20"/>
        </w:rPr>
        <w:t>de</w:t>
      </w:r>
      <w:r w:rsidRPr="007A60AB">
        <w:rPr>
          <w:i/>
          <w:color w:val="231F20"/>
          <w:spacing w:val="38"/>
          <w:sz w:val="20"/>
          <w:szCs w:val="20"/>
        </w:rPr>
        <w:t xml:space="preserve"> </w:t>
      </w:r>
      <w:r w:rsidRPr="007A60AB">
        <w:rPr>
          <w:i/>
          <w:color w:val="231F20"/>
          <w:spacing w:val="-1"/>
          <w:sz w:val="20"/>
          <w:szCs w:val="20"/>
        </w:rPr>
        <w:t>regulación</w:t>
      </w:r>
      <w:r w:rsidRPr="007A60AB">
        <w:rPr>
          <w:i/>
          <w:color w:val="231F20"/>
          <w:spacing w:val="37"/>
          <w:sz w:val="20"/>
          <w:szCs w:val="20"/>
        </w:rPr>
        <w:t xml:space="preserve"> </w:t>
      </w:r>
      <w:r w:rsidRPr="007A60AB">
        <w:rPr>
          <w:i/>
          <w:color w:val="231F20"/>
          <w:sz w:val="20"/>
          <w:szCs w:val="20"/>
        </w:rPr>
        <w:t>de</w:t>
      </w:r>
      <w:r w:rsidRPr="007A60AB">
        <w:rPr>
          <w:i/>
          <w:color w:val="231F20"/>
          <w:spacing w:val="39"/>
          <w:sz w:val="20"/>
          <w:szCs w:val="20"/>
        </w:rPr>
        <w:t xml:space="preserve"> </w:t>
      </w:r>
      <w:r w:rsidRPr="007A60AB">
        <w:rPr>
          <w:i/>
          <w:color w:val="231F20"/>
          <w:spacing w:val="-1"/>
          <w:sz w:val="20"/>
          <w:szCs w:val="20"/>
        </w:rPr>
        <w:t>las</w:t>
      </w:r>
      <w:r w:rsidRPr="007A60AB">
        <w:rPr>
          <w:i/>
          <w:color w:val="231F20"/>
          <w:spacing w:val="38"/>
          <w:sz w:val="20"/>
          <w:szCs w:val="20"/>
        </w:rPr>
        <w:t xml:space="preserve"> </w:t>
      </w:r>
      <w:r w:rsidRPr="007A60AB">
        <w:rPr>
          <w:i/>
          <w:color w:val="231F20"/>
          <w:spacing w:val="-1"/>
          <w:sz w:val="20"/>
          <w:szCs w:val="20"/>
        </w:rPr>
        <w:t>aguas</w:t>
      </w:r>
      <w:r w:rsidRPr="007A60AB">
        <w:rPr>
          <w:i/>
          <w:color w:val="231F20"/>
          <w:spacing w:val="39"/>
          <w:sz w:val="20"/>
          <w:szCs w:val="20"/>
        </w:rPr>
        <w:t xml:space="preserve"> </w:t>
      </w:r>
      <w:r w:rsidRPr="007A60AB">
        <w:rPr>
          <w:i/>
          <w:color w:val="231F20"/>
          <w:spacing w:val="-1"/>
          <w:sz w:val="20"/>
          <w:szCs w:val="20"/>
        </w:rPr>
        <w:t>minerales,</w:t>
      </w:r>
      <w:r w:rsidRPr="007A60AB">
        <w:rPr>
          <w:i/>
          <w:color w:val="231F20"/>
          <w:spacing w:val="39"/>
          <w:sz w:val="20"/>
          <w:szCs w:val="20"/>
        </w:rPr>
        <w:t xml:space="preserve"> </w:t>
      </w:r>
      <w:r w:rsidRPr="007A60AB">
        <w:rPr>
          <w:i/>
          <w:color w:val="231F20"/>
          <w:sz w:val="20"/>
          <w:szCs w:val="20"/>
        </w:rPr>
        <w:t>termales,</w:t>
      </w:r>
      <w:r w:rsidRPr="007A60AB">
        <w:rPr>
          <w:i/>
          <w:color w:val="231F20"/>
          <w:spacing w:val="39"/>
          <w:sz w:val="20"/>
          <w:szCs w:val="20"/>
        </w:rPr>
        <w:t xml:space="preserve"> </w:t>
      </w:r>
      <w:r w:rsidRPr="007A60AB">
        <w:rPr>
          <w:i/>
          <w:color w:val="231F20"/>
          <w:spacing w:val="-1"/>
          <w:sz w:val="20"/>
          <w:szCs w:val="20"/>
        </w:rPr>
        <w:t>de</w:t>
      </w:r>
      <w:r w:rsidRPr="007A60AB">
        <w:rPr>
          <w:i/>
          <w:color w:val="231F20"/>
          <w:spacing w:val="47"/>
          <w:sz w:val="20"/>
          <w:szCs w:val="20"/>
        </w:rPr>
        <w:t xml:space="preserve"> </w:t>
      </w:r>
      <w:r w:rsidRPr="007A60AB">
        <w:rPr>
          <w:i/>
          <w:color w:val="231F20"/>
          <w:spacing w:val="-1"/>
          <w:sz w:val="20"/>
          <w:szCs w:val="20"/>
        </w:rPr>
        <w:t>manantial</w:t>
      </w:r>
      <w:r w:rsidRPr="007A60AB">
        <w:rPr>
          <w:i/>
          <w:color w:val="231F20"/>
          <w:spacing w:val="5"/>
          <w:sz w:val="20"/>
          <w:szCs w:val="20"/>
        </w:rPr>
        <w:t xml:space="preserve"> </w:t>
      </w:r>
      <w:r w:rsidRPr="007A60AB">
        <w:rPr>
          <w:i/>
          <w:color w:val="231F20"/>
          <w:sz w:val="20"/>
          <w:szCs w:val="20"/>
        </w:rPr>
        <w:t>y</w:t>
      </w:r>
      <w:r w:rsidRPr="007A60AB">
        <w:rPr>
          <w:i/>
          <w:color w:val="231F20"/>
          <w:spacing w:val="3"/>
          <w:sz w:val="20"/>
          <w:szCs w:val="20"/>
        </w:rPr>
        <w:t xml:space="preserve"> </w:t>
      </w:r>
      <w:r w:rsidRPr="007A60AB">
        <w:rPr>
          <w:i/>
          <w:color w:val="231F20"/>
          <w:sz w:val="20"/>
          <w:szCs w:val="20"/>
        </w:rPr>
        <w:t>de</w:t>
      </w:r>
      <w:r w:rsidRPr="007A60AB">
        <w:rPr>
          <w:i/>
          <w:color w:val="231F20"/>
          <w:spacing w:val="6"/>
          <w:sz w:val="20"/>
          <w:szCs w:val="20"/>
        </w:rPr>
        <w:t xml:space="preserve"> </w:t>
      </w:r>
      <w:r w:rsidRPr="007A60AB">
        <w:rPr>
          <w:i/>
          <w:color w:val="231F20"/>
          <w:spacing w:val="-1"/>
          <w:sz w:val="20"/>
          <w:szCs w:val="20"/>
        </w:rPr>
        <w:t>los</w:t>
      </w:r>
      <w:r w:rsidRPr="007A60AB">
        <w:rPr>
          <w:i/>
          <w:color w:val="231F20"/>
          <w:spacing w:val="6"/>
          <w:sz w:val="20"/>
          <w:szCs w:val="20"/>
        </w:rPr>
        <w:t xml:space="preserve"> </w:t>
      </w:r>
      <w:r w:rsidRPr="007A60AB">
        <w:rPr>
          <w:i/>
          <w:color w:val="231F20"/>
          <w:spacing w:val="-1"/>
          <w:sz w:val="20"/>
          <w:szCs w:val="20"/>
        </w:rPr>
        <w:t>establecimientos</w:t>
      </w:r>
      <w:r w:rsidRPr="007A60AB">
        <w:rPr>
          <w:i/>
          <w:color w:val="231F20"/>
          <w:spacing w:val="6"/>
          <w:sz w:val="20"/>
          <w:szCs w:val="20"/>
        </w:rPr>
        <w:t xml:space="preserve"> </w:t>
      </w:r>
      <w:r w:rsidRPr="007A60AB">
        <w:rPr>
          <w:i/>
          <w:color w:val="231F20"/>
          <w:spacing w:val="-1"/>
          <w:sz w:val="20"/>
          <w:szCs w:val="20"/>
        </w:rPr>
        <w:t>balnearios</w:t>
      </w:r>
      <w:r w:rsidRPr="007A60AB">
        <w:rPr>
          <w:i/>
          <w:color w:val="231F20"/>
          <w:spacing w:val="6"/>
          <w:sz w:val="20"/>
          <w:szCs w:val="20"/>
        </w:rPr>
        <w:t xml:space="preserve"> </w:t>
      </w:r>
      <w:r w:rsidRPr="007A60AB">
        <w:rPr>
          <w:i/>
          <w:color w:val="231F20"/>
          <w:sz w:val="20"/>
          <w:szCs w:val="20"/>
        </w:rPr>
        <w:t>de</w:t>
      </w:r>
      <w:r w:rsidRPr="007A60AB">
        <w:rPr>
          <w:i/>
          <w:color w:val="231F20"/>
          <w:spacing w:val="6"/>
          <w:sz w:val="20"/>
          <w:szCs w:val="20"/>
        </w:rPr>
        <w:t xml:space="preserve"> </w:t>
      </w:r>
      <w:r w:rsidRPr="007A60AB">
        <w:rPr>
          <w:i/>
          <w:color w:val="231F20"/>
          <w:spacing w:val="-1"/>
          <w:sz w:val="20"/>
          <w:szCs w:val="20"/>
        </w:rPr>
        <w:t>la</w:t>
      </w:r>
      <w:r w:rsidRPr="007A60AB">
        <w:rPr>
          <w:i/>
          <w:color w:val="231F20"/>
          <w:spacing w:val="6"/>
          <w:sz w:val="20"/>
          <w:szCs w:val="20"/>
        </w:rPr>
        <w:t xml:space="preserve"> </w:t>
      </w:r>
      <w:r w:rsidRPr="007A60AB">
        <w:rPr>
          <w:i/>
          <w:color w:val="231F20"/>
          <w:spacing w:val="-1"/>
          <w:sz w:val="20"/>
          <w:szCs w:val="20"/>
        </w:rPr>
        <w:t>Comunidad</w:t>
      </w:r>
      <w:r w:rsidRPr="007A60AB">
        <w:rPr>
          <w:i/>
          <w:color w:val="231F20"/>
          <w:spacing w:val="7"/>
          <w:sz w:val="20"/>
          <w:szCs w:val="20"/>
        </w:rPr>
        <w:t xml:space="preserve"> </w:t>
      </w:r>
      <w:r w:rsidRPr="007A60AB">
        <w:rPr>
          <w:i/>
          <w:color w:val="231F20"/>
          <w:spacing w:val="-1"/>
          <w:sz w:val="20"/>
          <w:szCs w:val="20"/>
        </w:rPr>
        <w:t>Autónoma</w:t>
      </w:r>
      <w:r w:rsidRPr="007A60AB">
        <w:rPr>
          <w:i/>
          <w:color w:val="231F20"/>
          <w:spacing w:val="6"/>
          <w:sz w:val="20"/>
          <w:szCs w:val="20"/>
        </w:rPr>
        <w:t xml:space="preserve"> </w:t>
      </w:r>
      <w:r w:rsidRPr="007A60AB">
        <w:rPr>
          <w:i/>
          <w:color w:val="231F20"/>
          <w:sz w:val="20"/>
          <w:szCs w:val="20"/>
        </w:rPr>
        <w:t>de</w:t>
      </w:r>
      <w:r w:rsidRPr="007A60AB">
        <w:rPr>
          <w:i/>
          <w:color w:val="231F20"/>
          <w:spacing w:val="55"/>
          <w:sz w:val="20"/>
          <w:szCs w:val="20"/>
        </w:rPr>
        <w:t xml:space="preserve"> </w:t>
      </w:r>
      <w:r w:rsidRPr="007A60AB">
        <w:rPr>
          <w:i/>
          <w:color w:val="231F20"/>
          <w:spacing w:val="-1"/>
          <w:sz w:val="20"/>
          <w:szCs w:val="20"/>
        </w:rPr>
        <w:t>Galicia.</w:t>
      </w:r>
    </w:p>
    <w:p w14:paraId="51D08128" w14:textId="77777777" w:rsidR="001F2605" w:rsidRDefault="001F2605" w:rsidP="007A60AB">
      <w:pPr>
        <w:pStyle w:val="Textoindependiente"/>
        <w:kinsoku w:val="0"/>
        <w:overflowPunct w:val="0"/>
        <w:spacing w:before="120"/>
        <w:ind w:left="708" w:right="116"/>
        <w:jc w:val="both"/>
        <w:rPr>
          <w:i/>
          <w:color w:val="231F20"/>
          <w:spacing w:val="-1"/>
          <w:sz w:val="20"/>
          <w:szCs w:val="20"/>
        </w:rPr>
      </w:pPr>
      <w:r w:rsidRPr="007A60AB">
        <w:rPr>
          <w:i/>
          <w:color w:val="231F20"/>
          <w:sz w:val="20"/>
          <w:szCs w:val="20"/>
        </w:rPr>
        <w:t>El</w:t>
      </w:r>
      <w:r w:rsidRPr="007A60AB">
        <w:rPr>
          <w:i/>
          <w:color w:val="231F20"/>
          <w:spacing w:val="35"/>
          <w:sz w:val="20"/>
          <w:szCs w:val="20"/>
        </w:rPr>
        <w:t xml:space="preserve"> </w:t>
      </w:r>
      <w:r w:rsidRPr="007A60AB">
        <w:rPr>
          <w:i/>
          <w:color w:val="231F20"/>
          <w:spacing w:val="-1"/>
          <w:sz w:val="20"/>
          <w:szCs w:val="20"/>
        </w:rPr>
        <w:t>ámbito</w:t>
      </w:r>
      <w:r w:rsidRPr="007A60AB">
        <w:rPr>
          <w:i/>
          <w:color w:val="231F20"/>
          <w:spacing w:val="37"/>
          <w:sz w:val="20"/>
          <w:szCs w:val="20"/>
        </w:rPr>
        <w:t xml:space="preserve"> </w:t>
      </w:r>
      <w:r w:rsidRPr="007A60AB">
        <w:rPr>
          <w:i/>
          <w:color w:val="231F20"/>
          <w:spacing w:val="-1"/>
          <w:sz w:val="20"/>
          <w:szCs w:val="20"/>
        </w:rPr>
        <w:t>de</w:t>
      </w:r>
      <w:r w:rsidRPr="007A60AB">
        <w:rPr>
          <w:i/>
          <w:color w:val="231F20"/>
          <w:spacing w:val="37"/>
          <w:sz w:val="20"/>
          <w:szCs w:val="20"/>
        </w:rPr>
        <w:t xml:space="preserve"> </w:t>
      </w:r>
      <w:r w:rsidRPr="007A60AB">
        <w:rPr>
          <w:i/>
          <w:color w:val="231F20"/>
          <w:spacing w:val="-1"/>
          <w:sz w:val="20"/>
          <w:szCs w:val="20"/>
        </w:rPr>
        <w:t>protección</w:t>
      </w:r>
      <w:r w:rsidRPr="007A60AB">
        <w:rPr>
          <w:i/>
          <w:color w:val="231F20"/>
          <w:spacing w:val="36"/>
          <w:sz w:val="20"/>
          <w:szCs w:val="20"/>
        </w:rPr>
        <w:t xml:space="preserve"> </w:t>
      </w:r>
      <w:r w:rsidRPr="007A60AB">
        <w:rPr>
          <w:i/>
          <w:color w:val="231F20"/>
          <w:spacing w:val="-1"/>
          <w:sz w:val="20"/>
          <w:szCs w:val="20"/>
        </w:rPr>
        <w:t>establecido</w:t>
      </w:r>
      <w:r w:rsidRPr="007A60AB">
        <w:rPr>
          <w:i/>
          <w:color w:val="231F20"/>
          <w:spacing w:val="37"/>
          <w:sz w:val="20"/>
          <w:szCs w:val="20"/>
        </w:rPr>
        <w:t xml:space="preserve"> </w:t>
      </w:r>
      <w:r w:rsidRPr="007A60AB">
        <w:rPr>
          <w:i/>
          <w:color w:val="231F20"/>
          <w:spacing w:val="-1"/>
          <w:sz w:val="20"/>
          <w:szCs w:val="20"/>
        </w:rPr>
        <w:t>dentro</w:t>
      </w:r>
      <w:r w:rsidRPr="007A60AB">
        <w:rPr>
          <w:i/>
          <w:color w:val="231F20"/>
          <w:spacing w:val="35"/>
          <w:sz w:val="20"/>
          <w:szCs w:val="20"/>
        </w:rPr>
        <w:t xml:space="preserve"> </w:t>
      </w:r>
      <w:r w:rsidRPr="007A60AB">
        <w:rPr>
          <w:i/>
          <w:color w:val="231F20"/>
          <w:sz w:val="20"/>
          <w:szCs w:val="20"/>
        </w:rPr>
        <w:t>del</w:t>
      </w:r>
      <w:r w:rsidRPr="007A60AB">
        <w:rPr>
          <w:i/>
          <w:color w:val="231F20"/>
          <w:spacing w:val="36"/>
          <w:sz w:val="20"/>
          <w:szCs w:val="20"/>
        </w:rPr>
        <w:t xml:space="preserve"> </w:t>
      </w:r>
      <w:r w:rsidRPr="007A60AB">
        <w:rPr>
          <w:i/>
          <w:color w:val="231F20"/>
          <w:spacing w:val="-1"/>
          <w:sz w:val="20"/>
          <w:szCs w:val="20"/>
        </w:rPr>
        <w:t>terreno</w:t>
      </w:r>
      <w:r w:rsidRPr="007A60AB">
        <w:rPr>
          <w:i/>
          <w:color w:val="231F20"/>
          <w:spacing w:val="36"/>
          <w:sz w:val="20"/>
          <w:szCs w:val="20"/>
        </w:rPr>
        <w:t xml:space="preserve"> </w:t>
      </w:r>
      <w:r w:rsidRPr="007A60AB">
        <w:rPr>
          <w:i/>
          <w:color w:val="231F20"/>
          <w:spacing w:val="-1"/>
          <w:sz w:val="20"/>
          <w:szCs w:val="20"/>
        </w:rPr>
        <w:t>incluido</w:t>
      </w:r>
      <w:r w:rsidRPr="007A60AB">
        <w:rPr>
          <w:i/>
          <w:color w:val="231F20"/>
          <w:spacing w:val="38"/>
          <w:sz w:val="20"/>
          <w:szCs w:val="20"/>
        </w:rPr>
        <w:t xml:space="preserve"> </w:t>
      </w:r>
      <w:r w:rsidRPr="007A60AB">
        <w:rPr>
          <w:i/>
          <w:color w:val="231F20"/>
          <w:spacing w:val="-1"/>
          <w:sz w:val="20"/>
          <w:szCs w:val="20"/>
        </w:rPr>
        <w:t>en</w:t>
      </w:r>
      <w:r w:rsidRPr="007A60AB">
        <w:rPr>
          <w:i/>
          <w:color w:val="231F20"/>
          <w:spacing w:val="37"/>
          <w:sz w:val="20"/>
          <w:szCs w:val="20"/>
        </w:rPr>
        <w:t xml:space="preserve"> </w:t>
      </w:r>
      <w:r w:rsidRPr="007A60AB">
        <w:rPr>
          <w:i/>
          <w:color w:val="231F20"/>
          <w:spacing w:val="-1"/>
          <w:sz w:val="20"/>
          <w:szCs w:val="20"/>
        </w:rPr>
        <w:t>la</w:t>
      </w:r>
      <w:r w:rsidRPr="007A60AB">
        <w:rPr>
          <w:i/>
          <w:color w:val="231F20"/>
          <w:spacing w:val="36"/>
          <w:sz w:val="20"/>
          <w:szCs w:val="20"/>
        </w:rPr>
        <w:t xml:space="preserve"> </w:t>
      </w:r>
      <w:r w:rsidRPr="007A60AB">
        <w:rPr>
          <w:i/>
          <w:color w:val="231F20"/>
          <w:spacing w:val="-1"/>
          <w:sz w:val="20"/>
          <w:szCs w:val="20"/>
        </w:rPr>
        <w:t>poligonal</w:t>
      </w:r>
      <w:r w:rsidRPr="007A60AB">
        <w:rPr>
          <w:i/>
          <w:color w:val="231F20"/>
          <w:spacing w:val="33"/>
          <w:sz w:val="20"/>
          <w:szCs w:val="20"/>
        </w:rPr>
        <w:t xml:space="preserve"> </w:t>
      </w:r>
      <w:r w:rsidRPr="007A60AB">
        <w:rPr>
          <w:i/>
          <w:color w:val="231F20"/>
          <w:sz w:val="20"/>
          <w:szCs w:val="20"/>
        </w:rPr>
        <w:t>del</w:t>
      </w:r>
      <w:r w:rsidRPr="007A60AB">
        <w:rPr>
          <w:i/>
          <w:color w:val="231F20"/>
          <w:spacing w:val="57"/>
          <w:sz w:val="20"/>
          <w:szCs w:val="20"/>
        </w:rPr>
        <w:t xml:space="preserve"> </w:t>
      </w:r>
      <w:r w:rsidRPr="007A60AB">
        <w:rPr>
          <w:i/>
          <w:color w:val="231F20"/>
          <w:spacing w:val="-1"/>
          <w:sz w:val="20"/>
          <w:szCs w:val="20"/>
        </w:rPr>
        <w:t>Parque</w:t>
      </w:r>
      <w:r w:rsidRPr="007A60AB">
        <w:rPr>
          <w:i/>
          <w:color w:val="231F20"/>
          <w:spacing w:val="56"/>
          <w:sz w:val="20"/>
          <w:szCs w:val="20"/>
        </w:rPr>
        <w:t xml:space="preserve"> </w:t>
      </w:r>
      <w:r w:rsidRPr="007A60AB">
        <w:rPr>
          <w:i/>
          <w:color w:val="231F20"/>
          <w:spacing w:val="-1"/>
          <w:sz w:val="20"/>
          <w:szCs w:val="20"/>
        </w:rPr>
        <w:t>eólico</w:t>
      </w:r>
      <w:r w:rsidRPr="007A60AB">
        <w:rPr>
          <w:i/>
          <w:color w:val="231F20"/>
          <w:spacing w:val="54"/>
          <w:sz w:val="20"/>
          <w:szCs w:val="20"/>
        </w:rPr>
        <w:t xml:space="preserve"> </w:t>
      </w:r>
      <w:r w:rsidRPr="007A60AB">
        <w:rPr>
          <w:i/>
          <w:color w:val="231F20"/>
          <w:sz w:val="20"/>
          <w:szCs w:val="20"/>
        </w:rPr>
        <w:t>es</w:t>
      </w:r>
      <w:r w:rsidRPr="007A60AB">
        <w:rPr>
          <w:i/>
          <w:color w:val="231F20"/>
          <w:spacing w:val="57"/>
          <w:sz w:val="20"/>
          <w:szCs w:val="20"/>
        </w:rPr>
        <w:t xml:space="preserve"> </w:t>
      </w:r>
      <w:r w:rsidRPr="007A60AB">
        <w:rPr>
          <w:i/>
          <w:color w:val="231F20"/>
          <w:spacing w:val="-1"/>
          <w:sz w:val="20"/>
          <w:szCs w:val="20"/>
        </w:rPr>
        <w:t>de</w:t>
      </w:r>
      <w:r w:rsidRPr="007A60AB">
        <w:rPr>
          <w:i/>
          <w:color w:val="231F20"/>
          <w:spacing w:val="56"/>
          <w:sz w:val="20"/>
          <w:szCs w:val="20"/>
        </w:rPr>
        <w:t xml:space="preserve"> </w:t>
      </w:r>
      <w:r w:rsidRPr="007A60AB">
        <w:rPr>
          <w:b/>
          <w:i/>
          <w:color w:val="231F20"/>
          <w:spacing w:val="-1"/>
          <w:sz w:val="20"/>
          <w:szCs w:val="20"/>
        </w:rPr>
        <w:t>restricción</w:t>
      </w:r>
      <w:r w:rsidRPr="007A60AB">
        <w:rPr>
          <w:b/>
          <w:i/>
          <w:color w:val="231F20"/>
          <w:spacing w:val="54"/>
          <w:sz w:val="20"/>
          <w:szCs w:val="20"/>
        </w:rPr>
        <w:t xml:space="preserve"> </w:t>
      </w:r>
      <w:r w:rsidRPr="007A60AB">
        <w:rPr>
          <w:b/>
          <w:i/>
          <w:color w:val="231F20"/>
          <w:spacing w:val="-1"/>
          <w:sz w:val="20"/>
          <w:szCs w:val="20"/>
        </w:rPr>
        <w:t>media</w:t>
      </w:r>
      <w:r w:rsidRPr="007A60AB">
        <w:rPr>
          <w:b/>
          <w:i/>
          <w:color w:val="231F20"/>
          <w:spacing w:val="52"/>
          <w:sz w:val="20"/>
          <w:szCs w:val="20"/>
        </w:rPr>
        <w:t xml:space="preserve"> </w:t>
      </w:r>
      <w:r w:rsidRPr="007A60AB">
        <w:rPr>
          <w:b/>
          <w:i/>
          <w:color w:val="231F20"/>
          <w:sz w:val="20"/>
          <w:szCs w:val="20"/>
        </w:rPr>
        <w:t>y</w:t>
      </w:r>
      <w:r w:rsidRPr="007A60AB">
        <w:rPr>
          <w:b/>
          <w:i/>
          <w:color w:val="231F20"/>
          <w:spacing w:val="54"/>
          <w:sz w:val="20"/>
          <w:szCs w:val="20"/>
        </w:rPr>
        <w:t xml:space="preserve"> </w:t>
      </w:r>
      <w:r w:rsidRPr="007A60AB">
        <w:rPr>
          <w:b/>
          <w:i/>
          <w:color w:val="231F20"/>
          <w:spacing w:val="-1"/>
          <w:sz w:val="20"/>
          <w:szCs w:val="20"/>
        </w:rPr>
        <w:t>mínima</w:t>
      </w:r>
      <w:r w:rsidRPr="007A60AB">
        <w:rPr>
          <w:i/>
          <w:color w:val="231F20"/>
          <w:spacing w:val="-1"/>
          <w:sz w:val="20"/>
          <w:szCs w:val="20"/>
        </w:rPr>
        <w:t>.</w:t>
      </w:r>
      <w:r w:rsidRPr="007A60AB">
        <w:rPr>
          <w:i/>
          <w:color w:val="231F20"/>
          <w:spacing w:val="56"/>
          <w:sz w:val="20"/>
          <w:szCs w:val="20"/>
        </w:rPr>
        <w:t xml:space="preserve"> </w:t>
      </w:r>
      <w:r w:rsidRPr="007A60AB">
        <w:rPr>
          <w:i/>
          <w:color w:val="231F20"/>
          <w:sz w:val="20"/>
          <w:szCs w:val="20"/>
        </w:rPr>
        <w:t>Estas</w:t>
      </w:r>
      <w:r w:rsidRPr="007A60AB">
        <w:rPr>
          <w:i/>
          <w:color w:val="231F20"/>
          <w:spacing w:val="54"/>
          <w:sz w:val="20"/>
          <w:szCs w:val="20"/>
        </w:rPr>
        <w:t xml:space="preserve"> </w:t>
      </w:r>
      <w:r w:rsidRPr="007A60AB">
        <w:rPr>
          <w:i/>
          <w:color w:val="231F20"/>
          <w:spacing w:val="-1"/>
          <w:sz w:val="20"/>
          <w:szCs w:val="20"/>
        </w:rPr>
        <w:t>restricciones</w:t>
      </w:r>
      <w:r w:rsidRPr="007A60AB">
        <w:rPr>
          <w:i/>
          <w:color w:val="231F20"/>
          <w:spacing w:val="56"/>
          <w:sz w:val="20"/>
          <w:szCs w:val="20"/>
        </w:rPr>
        <w:t xml:space="preserve"> </w:t>
      </w:r>
      <w:r w:rsidRPr="007A60AB">
        <w:rPr>
          <w:i/>
          <w:color w:val="231F20"/>
          <w:spacing w:val="-1"/>
          <w:sz w:val="20"/>
          <w:szCs w:val="20"/>
        </w:rPr>
        <w:t>están</w:t>
      </w:r>
      <w:r w:rsidRPr="007A60AB">
        <w:rPr>
          <w:i/>
          <w:color w:val="231F20"/>
          <w:spacing w:val="65"/>
          <w:sz w:val="20"/>
          <w:szCs w:val="20"/>
        </w:rPr>
        <w:t xml:space="preserve"> </w:t>
      </w:r>
      <w:r w:rsidRPr="007A60AB">
        <w:rPr>
          <w:i/>
          <w:color w:val="231F20"/>
          <w:spacing w:val="-1"/>
          <w:sz w:val="20"/>
          <w:szCs w:val="20"/>
        </w:rPr>
        <w:t>establecidas</w:t>
      </w:r>
      <w:r w:rsidRPr="007A60AB">
        <w:rPr>
          <w:i/>
          <w:color w:val="231F20"/>
          <w:sz w:val="20"/>
          <w:szCs w:val="20"/>
        </w:rPr>
        <w:t xml:space="preserve"> en</w:t>
      </w:r>
      <w:r w:rsidRPr="007A60AB">
        <w:rPr>
          <w:i/>
          <w:color w:val="231F20"/>
          <w:spacing w:val="-1"/>
          <w:sz w:val="20"/>
          <w:szCs w:val="20"/>
        </w:rPr>
        <w:t xml:space="preserve"> función</w:t>
      </w:r>
      <w:r w:rsidRPr="007A60AB">
        <w:rPr>
          <w:i/>
          <w:color w:val="231F20"/>
          <w:spacing w:val="3"/>
          <w:sz w:val="20"/>
          <w:szCs w:val="20"/>
        </w:rPr>
        <w:t xml:space="preserve"> </w:t>
      </w:r>
      <w:r w:rsidRPr="007A60AB">
        <w:rPr>
          <w:i/>
          <w:color w:val="231F20"/>
          <w:spacing w:val="-1"/>
          <w:sz w:val="20"/>
          <w:szCs w:val="20"/>
        </w:rPr>
        <w:t>del</w:t>
      </w:r>
      <w:r w:rsidRPr="007A60AB">
        <w:rPr>
          <w:i/>
          <w:color w:val="231F20"/>
          <w:spacing w:val="2"/>
          <w:sz w:val="20"/>
          <w:szCs w:val="20"/>
        </w:rPr>
        <w:t xml:space="preserve"> </w:t>
      </w:r>
      <w:r w:rsidRPr="007A60AB">
        <w:rPr>
          <w:i/>
          <w:color w:val="231F20"/>
          <w:spacing w:val="-1"/>
          <w:sz w:val="20"/>
          <w:szCs w:val="20"/>
        </w:rPr>
        <w:t>tiempo</w:t>
      </w:r>
      <w:r w:rsidRPr="007A60AB">
        <w:rPr>
          <w:i/>
          <w:color w:val="231F20"/>
          <w:spacing w:val="1"/>
          <w:sz w:val="20"/>
          <w:szCs w:val="20"/>
        </w:rPr>
        <w:t xml:space="preserve"> </w:t>
      </w:r>
      <w:r w:rsidRPr="007A60AB">
        <w:rPr>
          <w:i/>
          <w:color w:val="231F20"/>
          <w:sz w:val="20"/>
          <w:szCs w:val="20"/>
        </w:rPr>
        <w:t>de</w:t>
      </w:r>
      <w:r w:rsidRPr="007A60AB">
        <w:rPr>
          <w:i/>
          <w:color w:val="231F20"/>
          <w:spacing w:val="1"/>
          <w:sz w:val="20"/>
          <w:szCs w:val="20"/>
        </w:rPr>
        <w:t xml:space="preserve"> </w:t>
      </w:r>
      <w:r w:rsidRPr="007A60AB">
        <w:rPr>
          <w:i/>
          <w:color w:val="231F20"/>
          <w:spacing w:val="-1"/>
          <w:sz w:val="20"/>
          <w:szCs w:val="20"/>
        </w:rPr>
        <w:t>tránsito</w:t>
      </w:r>
      <w:r w:rsidRPr="007A60AB">
        <w:rPr>
          <w:i/>
          <w:color w:val="231F20"/>
          <w:spacing w:val="3"/>
          <w:sz w:val="20"/>
          <w:szCs w:val="20"/>
        </w:rPr>
        <w:t xml:space="preserve"> </w:t>
      </w:r>
      <w:r w:rsidRPr="007A60AB">
        <w:rPr>
          <w:i/>
          <w:color w:val="231F20"/>
          <w:spacing w:val="-1"/>
          <w:sz w:val="20"/>
          <w:szCs w:val="20"/>
        </w:rPr>
        <w:t>que</w:t>
      </w:r>
      <w:r w:rsidRPr="007A60AB">
        <w:rPr>
          <w:i/>
          <w:color w:val="231F20"/>
          <w:spacing w:val="1"/>
          <w:sz w:val="20"/>
          <w:szCs w:val="20"/>
        </w:rPr>
        <w:t xml:space="preserve"> </w:t>
      </w:r>
      <w:r w:rsidRPr="007A60AB">
        <w:rPr>
          <w:i/>
          <w:color w:val="231F20"/>
          <w:sz w:val="20"/>
          <w:szCs w:val="20"/>
        </w:rPr>
        <w:t>se</w:t>
      </w:r>
      <w:r w:rsidRPr="007A60AB">
        <w:rPr>
          <w:i/>
          <w:color w:val="231F20"/>
          <w:spacing w:val="1"/>
          <w:sz w:val="20"/>
          <w:szCs w:val="20"/>
        </w:rPr>
        <w:t xml:space="preserve"> </w:t>
      </w:r>
      <w:r w:rsidRPr="007A60AB">
        <w:rPr>
          <w:i/>
          <w:color w:val="231F20"/>
          <w:spacing w:val="-1"/>
          <w:sz w:val="20"/>
          <w:szCs w:val="20"/>
        </w:rPr>
        <w:t>define</w:t>
      </w:r>
      <w:r w:rsidRPr="007A60AB">
        <w:rPr>
          <w:i/>
          <w:color w:val="231F20"/>
          <w:spacing w:val="3"/>
          <w:sz w:val="20"/>
          <w:szCs w:val="20"/>
        </w:rPr>
        <w:t xml:space="preserve"> </w:t>
      </w:r>
      <w:r w:rsidRPr="007A60AB">
        <w:rPr>
          <w:i/>
          <w:color w:val="231F20"/>
          <w:spacing w:val="-1"/>
          <w:sz w:val="20"/>
          <w:szCs w:val="20"/>
        </w:rPr>
        <w:t>como</w:t>
      </w:r>
      <w:r w:rsidRPr="007A60AB">
        <w:rPr>
          <w:i/>
          <w:color w:val="231F20"/>
          <w:spacing w:val="1"/>
          <w:sz w:val="20"/>
          <w:szCs w:val="20"/>
        </w:rPr>
        <w:t xml:space="preserve"> </w:t>
      </w:r>
      <w:r w:rsidRPr="007A60AB">
        <w:rPr>
          <w:i/>
          <w:color w:val="231F20"/>
          <w:sz w:val="20"/>
          <w:szCs w:val="20"/>
        </w:rPr>
        <w:t>el</w:t>
      </w:r>
      <w:r w:rsidRPr="007A60AB">
        <w:rPr>
          <w:i/>
          <w:color w:val="231F20"/>
          <w:spacing w:val="2"/>
          <w:sz w:val="20"/>
          <w:szCs w:val="20"/>
        </w:rPr>
        <w:t xml:space="preserve"> </w:t>
      </w:r>
      <w:r w:rsidRPr="007A60AB">
        <w:rPr>
          <w:i/>
          <w:color w:val="231F20"/>
          <w:spacing w:val="-1"/>
          <w:sz w:val="20"/>
          <w:szCs w:val="20"/>
        </w:rPr>
        <w:t>tiempo</w:t>
      </w:r>
      <w:r w:rsidRPr="007A60AB">
        <w:rPr>
          <w:i/>
          <w:color w:val="231F20"/>
          <w:spacing w:val="1"/>
          <w:sz w:val="20"/>
          <w:szCs w:val="20"/>
        </w:rPr>
        <w:t xml:space="preserve"> </w:t>
      </w:r>
      <w:r w:rsidRPr="007A60AB">
        <w:rPr>
          <w:i/>
          <w:color w:val="231F20"/>
          <w:spacing w:val="-1"/>
          <w:sz w:val="20"/>
          <w:szCs w:val="20"/>
        </w:rPr>
        <w:t>desde</w:t>
      </w:r>
      <w:r w:rsidRPr="007A60AB">
        <w:rPr>
          <w:i/>
          <w:color w:val="231F20"/>
          <w:spacing w:val="1"/>
          <w:sz w:val="20"/>
          <w:szCs w:val="20"/>
        </w:rPr>
        <w:t xml:space="preserve"> </w:t>
      </w:r>
      <w:r w:rsidRPr="007A60AB">
        <w:rPr>
          <w:i/>
          <w:color w:val="231F20"/>
          <w:spacing w:val="-2"/>
          <w:sz w:val="20"/>
          <w:szCs w:val="20"/>
        </w:rPr>
        <w:t>la</w:t>
      </w:r>
      <w:r w:rsidRPr="007A60AB">
        <w:rPr>
          <w:i/>
          <w:color w:val="231F20"/>
          <w:spacing w:val="65"/>
          <w:sz w:val="20"/>
          <w:szCs w:val="20"/>
        </w:rPr>
        <w:t xml:space="preserve"> </w:t>
      </w:r>
      <w:r w:rsidRPr="007A60AB">
        <w:rPr>
          <w:i/>
          <w:color w:val="231F20"/>
          <w:spacing w:val="-1"/>
          <w:sz w:val="20"/>
          <w:szCs w:val="20"/>
        </w:rPr>
        <w:t>entrada</w:t>
      </w:r>
      <w:r w:rsidRPr="007A60AB">
        <w:rPr>
          <w:i/>
          <w:color w:val="231F20"/>
          <w:spacing w:val="1"/>
          <w:sz w:val="20"/>
          <w:szCs w:val="20"/>
        </w:rPr>
        <w:t xml:space="preserve"> </w:t>
      </w:r>
      <w:r w:rsidRPr="007A60AB">
        <w:rPr>
          <w:i/>
          <w:color w:val="231F20"/>
          <w:spacing w:val="-1"/>
          <w:sz w:val="20"/>
          <w:szCs w:val="20"/>
        </w:rPr>
        <w:t>de</w:t>
      </w:r>
      <w:r w:rsidRPr="007A60AB">
        <w:rPr>
          <w:i/>
          <w:color w:val="231F20"/>
          <w:spacing w:val="1"/>
          <w:sz w:val="20"/>
          <w:szCs w:val="20"/>
        </w:rPr>
        <w:t xml:space="preserve"> </w:t>
      </w:r>
      <w:r w:rsidRPr="007A60AB">
        <w:rPr>
          <w:i/>
          <w:color w:val="231F20"/>
          <w:spacing w:val="-1"/>
          <w:sz w:val="20"/>
          <w:szCs w:val="20"/>
        </w:rPr>
        <w:t xml:space="preserve">un material </w:t>
      </w:r>
      <w:r w:rsidRPr="007A60AB">
        <w:rPr>
          <w:i/>
          <w:color w:val="231F20"/>
          <w:sz w:val="20"/>
          <w:szCs w:val="20"/>
        </w:rPr>
        <w:t>en</w:t>
      </w:r>
      <w:r w:rsidRPr="007A60AB">
        <w:rPr>
          <w:i/>
          <w:color w:val="231F20"/>
          <w:spacing w:val="-2"/>
          <w:sz w:val="20"/>
          <w:szCs w:val="20"/>
        </w:rPr>
        <w:t xml:space="preserve"> </w:t>
      </w:r>
      <w:r w:rsidRPr="007A60AB">
        <w:rPr>
          <w:i/>
          <w:color w:val="231F20"/>
          <w:sz w:val="20"/>
          <w:szCs w:val="20"/>
        </w:rPr>
        <w:t xml:space="preserve">el </w:t>
      </w:r>
      <w:r w:rsidRPr="007A60AB">
        <w:rPr>
          <w:i/>
          <w:color w:val="231F20"/>
          <w:spacing w:val="-1"/>
          <w:sz w:val="20"/>
          <w:szCs w:val="20"/>
        </w:rPr>
        <w:t>acuífero</w:t>
      </w:r>
      <w:r w:rsidRPr="007A60AB">
        <w:rPr>
          <w:i/>
          <w:color w:val="231F20"/>
          <w:spacing w:val="1"/>
          <w:sz w:val="20"/>
          <w:szCs w:val="20"/>
        </w:rPr>
        <w:t xml:space="preserve"> </w:t>
      </w:r>
      <w:r w:rsidRPr="007A60AB">
        <w:rPr>
          <w:i/>
          <w:color w:val="231F20"/>
          <w:sz w:val="20"/>
          <w:szCs w:val="20"/>
        </w:rPr>
        <w:t>y</w:t>
      </w:r>
      <w:r w:rsidRPr="007A60AB">
        <w:rPr>
          <w:i/>
          <w:color w:val="231F20"/>
          <w:spacing w:val="-2"/>
          <w:sz w:val="20"/>
          <w:szCs w:val="20"/>
        </w:rPr>
        <w:t xml:space="preserve"> </w:t>
      </w:r>
      <w:r w:rsidRPr="007A60AB">
        <w:rPr>
          <w:i/>
          <w:color w:val="231F20"/>
          <w:sz w:val="20"/>
          <w:szCs w:val="20"/>
        </w:rPr>
        <w:t>su</w:t>
      </w:r>
      <w:r w:rsidRPr="007A60AB">
        <w:rPr>
          <w:i/>
          <w:color w:val="231F20"/>
          <w:spacing w:val="-2"/>
          <w:sz w:val="20"/>
          <w:szCs w:val="20"/>
        </w:rPr>
        <w:t xml:space="preserve"> </w:t>
      </w:r>
      <w:r w:rsidRPr="007A60AB">
        <w:rPr>
          <w:i/>
          <w:color w:val="231F20"/>
          <w:spacing w:val="-1"/>
          <w:sz w:val="20"/>
          <w:szCs w:val="20"/>
        </w:rPr>
        <w:t>extracción.</w:t>
      </w:r>
    </w:p>
    <w:p w14:paraId="10AFD83F" w14:textId="2D0DAFE1" w:rsidR="007A60AB" w:rsidRPr="007A60AB" w:rsidRDefault="007A60AB" w:rsidP="007A60AB">
      <w:pPr>
        <w:pStyle w:val="Textoindependiente"/>
        <w:kinsoku w:val="0"/>
        <w:overflowPunct w:val="0"/>
        <w:spacing w:before="120"/>
        <w:ind w:left="708" w:right="116"/>
        <w:jc w:val="both"/>
        <w:rPr>
          <w:i/>
          <w:color w:val="000000"/>
          <w:sz w:val="20"/>
          <w:szCs w:val="20"/>
        </w:rPr>
      </w:pPr>
      <w:r>
        <w:rPr>
          <w:i/>
          <w:noProof/>
          <w:color w:val="000000"/>
          <w:sz w:val="20"/>
          <w:szCs w:val="20"/>
          <w:lang w:val="es-ES" w:eastAsia="es-ES"/>
        </w:rPr>
        <w:lastRenderedPageBreak/>
        <w:drawing>
          <wp:inline distT="0" distB="0" distL="0" distR="0" wp14:anchorId="69F2C2F7" wp14:editId="34C74418">
            <wp:extent cx="5760720" cy="4061334"/>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5760720" cy="4061334"/>
                    </a:xfrm>
                    <a:prstGeom prst="rect">
                      <a:avLst/>
                    </a:prstGeom>
                    <a:noFill/>
                    <a:ln>
                      <a:noFill/>
                    </a:ln>
                  </pic:spPr>
                </pic:pic>
              </a:graphicData>
            </a:graphic>
          </wp:inline>
        </w:drawing>
      </w:r>
    </w:p>
    <w:p w14:paraId="46F7BA8A" w14:textId="77777777" w:rsidR="001F2605" w:rsidRPr="007A60AB" w:rsidRDefault="001F2605" w:rsidP="007A60AB">
      <w:pPr>
        <w:pStyle w:val="Textoindependiente"/>
        <w:kinsoku w:val="0"/>
        <w:overflowPunct w:val="0"/>
        <w:spacing w:before="50"/>
        <w:ind w:left="2676"/>
        <w:rPr>
          <w:i/>
          <w:color w:val="000000"/>
          <w:sz w:val="20"/>
          <w:szCs w:val="20"/>
        </w:rPr>
      </w:pPr>
      <w:r w:rsidRPr="007A60AB">
        <w:rPr>
          <w:i/>
          <w:iCs/>
          <w:color w:val="231F20"/>
          <w:spacing w:val="-1"/>
          <w:sz w:val="20"/>
          <w:szCs w:val="20"/>
        </w:rPr>
        <w:t>Figura</w:t>
      </w:r>
      <w:r w:rsidRPr="007A60AB">
        <w:rPr>
          <w:i/>
          <w:iCs/>
          <w:color w:val="231F20"/>
          <w:sz w:val="20"/>
          <w:szCs w:val="20"/>
        </w:rPr>
        <w:t xml:space="preserve"> </w:t>
      </w:r>
      <w:r w:rsidRPr="007A60AB">
        <w:rPr>
          <w:i/>
          <w:iCs/>
          <w:color w:val="231F20"/>
          <w:spacing w:val="-1"/>
          <w:sz w:val="20"/>
          <w:szCs w:val="20"/>
        </w:rPr>
        <w:t>31: Aprovechamientos</w:t>
      </w:r>
      <w:r w:rsidRPr="007A60AB">
        <w:rPr>
          <w:i/>
          <w:iCs/>
          <w:color w:val="231F20"/>
          <w:sz w:val="20"/>
          <w:szCs w:val="20"/>
        </w:rPr>
        <w:t xml:space="preserve"> </w:t>
      </w:r>
      <w:r w:rsidRPr="007A60AB">
        <w:rPr>
          <w:i/>
          <w:iCs/>
          <w:color w:val="231F20"/>
          <w:spacing w:val="-1"/>
          <w:sz w:val="20"/>
          <w:szCs w:val="20"/>
        </w:rPr>
        <w:t>de</w:t>
      </w:r>
      <w:r w:rsidRPr="007A60AB">
        <w:rPr>
          <w:i/>
          <w:iCs/>
          <w:color w:val="231F20"/>
          <w:sz w:val="20"/>
          <w:szCs w:val="20"/>
        </w:rPr>
        <w:t xml:space="preserve"> </w:t>
      </w:r>
      <w:r w:rsidRPr="007A60AB">
        <w:rPr>
          <w:i/>
          <w:iCs/>
          <w:color w:val="231F20"/>
          <w:spacing w:val="-2"/>
          <w:sz w:val="20"/>
          <w:szCs w:val="20"/>
        </w:rPr>
        <w:t>agua</w:t>
      </w:r>
      <w:r w:rsidRPr="007A60AB">
        <w:rPr>
          <w:i/>
          <w:iCs/>
          <w:color w:val="231F20"/>
          <w:sz w:val="20"/>
          <w:szCs w:val="20"/>
        </w:rPr>
        <w:t xml:space="preserve"> </w:t>
      </w:r>
      <w:r w:rsidRPr="007A60AB">
        <w:rPr>
          <w:i/>
          <w:iCs/>
          <w:color w:val="231F20"/>
          <w:spacing w:val="-1"/>
          <w:sz w:val="20"/>
          <w:szCs w:val="20"/>
        </w:rPr>
        <w:t>mineral</w:t>
      </w:r>
      <w:r w:rsidRPr="007A60AB">
        <w:rPr>
          <w:i/>
          <w:iCs/>
          <w:color w:val="231F20"/>
          <w:spacing w:val="1"/>
          <w:sz w:val="20"/>
          <w:szCs w:val="20"/>
        </w:rPr>
        <w:t xml:space="preserve"> </w:t>
      </w:r>
      <w:r w:rsidRPr="007A60AB">
        <w:rPr>
          <w:i/>
          <w:iCs/>
          <w:color w:val="231F20"/>
          <w:spacing w:val="-1"/>
          <w:sz w:val="20"/>
          <w:szCs w:val="20"/>
        </w:rPr>
        <w:t>en</w:t>
      </w:r>
      <w:r w:rsidRPr="007A60AB">
        <w:rPr>
          <w:i/>
          <w:iCs/>
          <w:color w:val="231F20"/>
          <w:sz w:val="20"/>
          <w:szCs w:val="20"/>
        </w:rPr>
        <w:t xml:space="preserve"> </w:t>
      </w:r>
      <w:r w:rsidRPr="007A60AB">
        <w:rPr>
          <w:i/>
          <w:iCs/>
          <w:color w:val="231F20"/>
          <w:spacing w:val="-1"/>
          <w:sz w:val="20"/>
          <w:szCs w:val="20"/>
        </w:rPr>
        <w:t>el</w:t>
      </w:r>
      <w:r w:rsidRPr="007A60AB">
        <w:rPr>
          <w:i/>
          <w:iCs/>
          <w:color w:val="231F20"/>
          <w:spacing w:val="1"/>
          <w:sz w:val="20"/>
          <w:szCs w:val="20"/>
        </w:rPr>
        <w:t xml:space="preserve"> </w:t>
      </w:r>
      <w:r w:rsidRPr="007A60AB">
        <w:rPr>
          <w:i/>
          <w:iCs/>
          <w:color w:val="231F20"/>
          <w:spacing w:val="-1"/>
          <w:sz w:val="20"/>
          <w:szCs w:val="20"/>
        </w:rPr>
        <w:t>ámbito</w:t>
      </w:r>
      <w:r w:rsidRPr="007A60AB">
        <w:rPr>
          <w:i/>
          <w:iCs/>
          <w:color w:val="231F20"/>
          <w:sz w:val="20"/>
          <w:szCs w:val="20"/>
        </w:rPr>
        <w:t xml:space="preserve"> </w:t>
      </w:r>
      <w:r w:rsidRPr="007A60AB">
        <w:rPr>
          <w:i/>
          <w:iCs/>
          <w:color w:val="231F20"/>
          <w:spacing w:val="-1"/>
          <w:sz w:val="20"/>
          <w:szCs w:val="20"/>
        </w:rPr>
        <w:t>de</w:t>
      </w:r>
      <w:r w:rsidRPr="007A60AB">
        <w:rPr>
          <w:i/>
          <w:iCs/>
          <w:color w:val="231F20"/>
          <w:spacing w:val="-2"/>
          <w:sz w:val="20"/>
          <w:szCs w:val="20"/>
        </w:rPr>
        <w:t xml:space="preserve"> </w:t>
      </w:r>
      <w:r w:rsidRPr="007A60AB">
        <w:rPr>
          <w:i/>
          <w:iCs/>
          <w:color w:val="231F20"/>
          <w:spacing w:val="-1"/>
          <w:sz w:val="20"/>
          <w:szCs w:val="20"/>
        </w:rPr>
        <w:t>estudio</w:t>
      </w:r>
    </w:p>
    <w:p w14:paraId="28BC2643" w14:textId="77777777" w:rsidR="001F2605" w:rsidRPr="007A60AB" w:rsidRDefault="001F2605" w:rsidP="007A60AB">
      <w:pPr>
        <w:pStyle w:val="Textoindependiente"/>
        <w:kinsoku w:val="0"/>
        <w:overflowPunct w:val="0"/>
        <w:spacing w:before="120"/>
        <w:ind w:left="708" w:right="116"/>
        <w:jc w:val="both"/>
        <w:rPr>
          <w:i/>
          <w:color w:val="000000"/>
          <w:sz w:val="20"/>
          <w:szCs w:val="20"/>
        </w:rPr>
      </w:pPr>
      <w:r w:rsidRPr="007A60AB">
        <w:rPr>
          <w:i/>
          <w:color w:val="231F20"/>
          <w:sz w:val="20"/>
          <w:szCs w:val="20"/>
        </w:rPr>
        <w:t xml:space="preserve">El </w:t>
      </w:r>
      <w:r w:rsidRPr="007A60AB">
        <w:rPr>
          <w:i/>
          <w:color w:val="231F20"/>
          <w:spacing w:val="-1"/>
          <w:sz w:val="20"/>
          <w:szCs w:val="20"/>
        </w:rPr>
        <w:t>Proyecto</w:t>
      </w:r>
      <w:r w:rsidRPr="007A60AB">
        <w:rPr>
          <w:i/>
          <w:color w:val="231F20"/>
          <w:spacing w:val="1"/>
          <w:sz w:val="20"/>
          <w:szCs w:val="20"/>
        </w:rPr>
        <w:t xml:space="preserve"> </w:t>
      </w:r>
      <w:r w:rsidRPr="007A60AB">
        <w:rPr>
          <w:i/>
          <w:color w:val="231F20"/>
          <w:spacing w:val="-1"/>
          <w:sz w:val="20"/>
          <w:szCs w:val="20"/>
        </w:rPr>
        <w:t>afecta</w:t>
      </w:r>
      <w:r w:rsidRPr="007A60AB">
        <w:rPr>
          <w:i/>
          <w:color w:val="231F20"/>
          <w:spacing w:val="1"/>
          <w:sz w:val="20"/>
          <w:szCs w:val="20"/>
        </w:rPr>
        <w:t xml:space="preserve"> </w:t>
      </w:r>
      <w:r w:rsidRPr="007A60AB">
        <w:rPr>
          <w:i/>
          <w:color w:val="231F20"/>
          <w:sz w:val="20"/>
          <w:szCs w:val="20"/>
        </w:rPr>
        <w:t>de</w:t>
      </w:r>
      <w:r w:rsidRPr="007A60AB">
        <w:rPr>
          <w:i/>
          <w:color w:val="231F20"/>
          <w:spacing w:val="-2"/>
          <w:sz w:val="20"/>
          <w:szCs w:val="20"/>
        </w:rPr>
        <w:t xml:space="preserve"> </w:t>
      </w:r>
      <w:r w:rsidRPr="007A60AB">
        <w:rPr>
          <w:i/>
          <w:color w:val="231F20"/>
          <w:sz w:val="20"/>
          <w:szCs w:val="20"/>
        </w:rPr>
        <w:t>forma</w:t>
      </w:r>
      <w:r w:rsidRPr="007A60AB">
        <w:rPr>
          <w:i/>
          <w:color w:val="231F20"/>
          <w:spacing w:val="1"/>
          <w:sz w:val="20"/>
          <w:szCs w:val="20"/>
        </w:rPr>
        <w:t xml:space="preserve"> </w:t>
      </w:r>
      <w:r w:rsidRPr="007A60AB">
        <w:rPr>
          <w:i/>
          <w:color w:val="231F20"/>
          <w:spacing w:val="-1"/>
          <w:sz w:val="20"/>
          <w:szCs w:val="20"/>
        </w:rPr>
        <w:t>directa</w:t>
      </w:r>
      <w:r w:rsidRPr="007A60AB">
        <w:rPr>
          <w:i/>
          <w:color w:val="231F20"/>
          <w:spacing w:val="1"/>
          <w:sz w:val="20"/>
          <w:szCs w:val="20"/>
        </w:rPr>
        <w:t xml:space="preserve"> </w:t>
      </w:r>
      <w:r w:rsidRPr="007A60AB">
        <w:rPr>
          <w:i/>
          <w:color w:val="231F20"/>
          <w:sz w:val="20"/>
          <w:szCs w:val="20"/>
        </w:rPr>
        <w:t xml:space="preserve">al </w:t>
      </w:r>
      <w:r w:rsidRPr="007A60AB">
        <w:rPr>
          <w:i/>
          <w:color w:val="231F20"/>
          <w:spacing w:val="-1"/>
          <w:sz w:val="20"/>
          <w:szCs w:val="20"/>
        </w:rPr>
        <w:t>área</w:t>
      </w:r>
      <w:r w:rsidRPr="007A60AB">
        <w:rPr>
          <w:i/>
          <w:color w:val="231F20"/>
          <w:spacing w:val="1"/>
          <w:sz w:val="20"/>
          <w:szCs w:val="20"/>
        </w:rPr>
        <w:t xml:space="preserve"> </w:t>
      </w:r>
      <w:r w:rsidRPr="007A60AB">
        <w:rPr>
          <w:i/>
          <w:color w:val="231F20"/>
          <w:spacing w:val="-1"/>
          <w:sz w:val="20"/>
          <w:szCs w:val="20"/>
        </w:rPr>
        <w:t>caracterizada</w:t>
      </w:r>
      <w:r w:rsidRPr="007A60AB">
        <w:rPr>
          <w:i/>
          <w:color w:val="231F20"/>
          <w:spacing w:val="1"/>
          <w:sz w:val="20"/>
          <w:szCs w:val="20"/>
        </w:rPr>
        <w:t xml:space="preserve"> </w:t>
      </w:r>
      <w:r w:rsidRPr="007A60AB">
        <w:rPr>
          <w:i/>
          <w:color w:val="231F20"/>
          <w:spacing w:val="-1"/>
          <w:sz w:val="20"/>
          <w:szCs w:val="20"/>
        </w:rPr>
        <w:t>como</w:t>
      </w:r>
      <w:r w:rsidRPr="007A60AB">
        <w:rPr>
          <w:i/>
          <w:color w:val="231F20"/>
          <w:spacing w:val="2"/>
          <w:sz w:val="20"/>
          <w:szCs w:val="20"/>
        </w:rPr>
        <w:t xml:space="preserve"> </w:t>
      </w:r>
      <w:r w:rsidRPr="007A60AB">
        <w:rPr>
          <w:i/>
          <w:color w:val="231F20"/>
          <w:sz w:val="20"/>
          <w:szCs w:val="20"/>
        </w:rPr>
        <w:t>de</w:t>
      </w:r>
      <w:r w:rsidRPr="007A60AB">
        <w:rPr>
          <w:i/>
          <w:color w:val="231F20"/>
          <w:spacing w:val="-2"/>
          <w:sz w:val="20"/>
          <w:szCs w:val="20"/>
        </w:rPr>
        <w:t xml:space="preserve"> </w:t>
      </w:r>
      <w:r w:rsidRPr="007A60AB">
        <w:rPr>
          <w:i/>
          <w:color w:val="231F20"/>
          <w:spacing w:val="-1"/>
          <w:sz w:val="20"/>
          <w:szCs w:val="20"/>
        </w:rPr>
        <w:t>restricción</w:t>
      </w:r>
      <w:r w:rsidRPr="007A60AB">
        <w:rPr>
          <w:i/>
          <w:color w:val="231F20"/>
          <w:spacing w:val="1"/>
          <w:sz w:val="20"/>
          <w:szCs w:val="20"/>
        </w:rPr>
        <w:t xml:space="preserve"> </w:t>
      </w:r>
      <w:r w:rsidRPr="007A60AB">
        <w:rPr>
          <w:i/>
          <w:color w:val="231F20"/>
          <w:spacing w:val="-1"/>
          <w:sz w:val="20"/>
          <w:szCs w:val="20"/>
        </w:rPr>
        <w:t>mínima</w:t>
      </w:r>
      <w:r w:rsidRPr="007A60AB">
        <w:rPr>
          <w:i/>
          <w:color w:val="231F20"/>
          <w:spacing w:val="59"/>
          <w:sz w:val="20"/>
          <w:szCs w:val="20"/>
        </w:rPr>
        <w:t xml:space="preserve"> </w:t>
      </w:r>
      <w:r w:rsidRPr="007A60AB">
        <w:rPr>
          <w:i/>
          <w:color w:val="231F20"/>
          <w:sz w:val="20"/>
          <w:szCs w:val="20"/>
        </w:rPr>
        <w:t>por</w:t>
      </w:r>
      <w:r w:rsidRPr="007A60AB">
        <w:rPr>
          <w:i/>
          <w:color w:val="231F20"/>
          <w:spacing w:val="4"/>
          <w:sz w:val="20"/>
          <w:szCs w:val="20"/>
        </w:rPr>
        <w:t xml:space="preserve"> </w:t>
      </w:r>
      <w:r w:rsidRPr="007A60AB">
        <w:rPr>
          <w:i/>
          <w:color w:val="231F20"/>
          <w:spacing w:val="-1"/>
          <w:sz w:val="20"/>
          <w:szCs w:val="20"/>
        </w:rPr>
        <w:t>la</w:t>
      </w:r>
      <w:r w:rsidRPr="007A60AB">
        <w:rPr>
          <w:i/>
          <w:color w:val="231F20"/>
          <w:spacing w:val="5"/>
          <w:sz w:val="20"/>
          <w:szCs w:val="20"/>
        </w:rPr>
        <w:t xml:space="preserve"> </w:t>
      </w:r>
      <w:r w:rsidRPr="007A60AB">
        <w:rPr>
          <w:i/>
          <w:color w:val="231F20"/>
          <w:spacing w:val="-1"/>
          <w:sz w:val="20"/>
          <w:szCs w:val="20"/>
        </w:rPr>
        <w:t>construcción</w:t>
      </w:r>
      <w:r w:rsidRPr="007A60AB">
        <w:rPr>
          <w:i/>
          <w:color w:val="231F20"/>
          <w:spacing w:val="3"/>
          <w:sz w:val="20"/>
          <w:szCs w:val="20"/>
        </w:rPr>
        <w:t xml:space="preserve"> </w:t>
      </w:r>
      <w:r w:rsidRPr="007A60AB">
        <w:rPr>
          <w:i/>
          <w:color w:val="231F20"/>
          <w:sz w:val="20"/>
          <w:szCs w:val="20"/>
        </w:rPr>
        <w:t>de</w:t>
      </w:r>
      <w:r w:rsidRPr="007A60AB">
        <w:rPr>
          <w:i/>
          <w:color w:val="231F20"/>
          <w:spacing w:val="1"/>
          <w:sz w:val="20"/>
          <w:szCs w:val="20"/>
        </w:rPr>
        <w:t xml:space="preserve"> </w:t>
      </w:r>
      <w:r w:rsidRPr="007A60AB">
        <w:rPr>
          <w:i/>
          <w:color w:val="231F20"/>
          <w:spacing w:val="-1"/>
          <w:sz w:val="20"/>
          <w:szCs w:val="20"/>
        </w:rPr>
        <w:t>la</w:t>
      </w:r>
      <w:r w:rsidRPr="007A60AB">
        <w:rPr>
          <w:i/>
          <w:color w:val="231F20"/>
          <w:spacing w:val="6"/>
          <w:sz w:val="20"/>
          <w:szCs w:val="20"/>
        </w:rPr>
        <w:t xml:space="preserve"> </w:t>
      </w:r>
      <w:r w:rsidRPr="007A60AB">
        <w:rPr>
          <w:i/>
          <w:color w:val="231F20"/>
          <w:spacing w:val="-1"/>
          <w:sz w:val="20"/>
          <w:szCs w:val="20"/>
        </w:rPr>
        <w:t>zanja</w:t>
      </w:r>
      <w:r w:rsidRPr="007A60AB">
        <w:rPr>
          <w:i/>
          <w:color w:val="231F20"/>
          <w:spacing w:val="5"/>
          <w:sz w:val="20"/>
          <w:szCs w:val="20"/>
        </w:rPr>
        <w:t xml:space="preserve"> </w:t>
      </w:r>
      <w:r w:rsidRPr="007A60AB">
        <w:rPr>
          <w:i/>
          <w:color w:val="231F20"/>
          <w:sz w:val="20"/>
          <w:szCs w:val="20"/>
        </w:rPr>
        <w:t>de</w:t>
      </w:r>
      <w:r w:rsidRPr="007A60AB">
        <w:rPr>
          <w:i/>
          <w:color w:val="231F20"/>
          <w:spacing w:val="5"/>
          <w:sz w:val="20"/>
          <w:szCs w:val="20"/>
        </w:rPr>
        <w:t xml:space="preserve"> </w:t>
      </w:r>
      <w:r w:rsidRPr="007A60AB">
        <w:rPr>
          <w:i/>
          <w:color w:val="231F20"/>
          <w:spacing w:val="-1"/>
          <w:sz w:val="20"/>
          <w:szCs w:val="20"/>
        </w:rPr>
        <w:t>interconexión</w:t>
      </w:r>
      <w:r w:rsidRPr="007A60AB">
        <w:rPr>
          <w:i/>
          <w:color w:val="231F20"/>
          <w:spacing w:val="5"/>
          <w:sz w:val="20"/>
          <w:szCs w:val="20"/>
        </w:rPr>
        <w:t xml:space="preserve"> </w:t>
      </w:r>
      <w:r w:rsidRPr="007A60AB">
        <w:rPr>
          <w:i/>
          <w:color w:val="231F20"/>
          <w:spacing w:val="-1"/>
          <w:sz w:val="20"/>
          <w:szCs w:val="20"/>
        </w:rPr>
        <w:t>con</w:t>
      </w:r>
      <w:r w:rsidRPr="007A60AB">
        <w:rPr>
          <w:i/>
          <w:color w:val="231F20"/>
          <w:spacing w:val="5"/>
          <w:sz w:val="20"/>
          <w:szCs w:val="20"/>
        </w:rPr>
        <w:t xml:space="preserve"> </w:t>
      </w:r>
      <w:r w:rsidRPr="007A60AB">
        <w:rPr>
          <w:i/>
          <w:color w:val="231F20"/>
          <w:spacing w:val="-1"/>
          <w:sz w:val="20"/>
          <w:szCs w:val="20"/>
        </w:rPr>
        <w:t>la</w:t>
      </w:r>
      <w:r w:rsidRPr="007A60AB">
        <w:rPr>
          <w:i/>
          <w:color w:val="231F20"/>
          <w:spacing w:val="6"/>
          <w:sz w:val="20"/>
          <w:szCs w:val="20"/>
        </w:rPr>
        <w:t xml:space="preserve"> </w:t>
      </w:r>
      <w:r w:rsidRPr="007A60AB">
        <w:rPr>
          <w:i/>
          <w:color w:val="231F20"/>
          <w:spacing w:val="-1"/>
          <w:sz w:val="20"/>
          <w:szCs w:val="20"/>
        </w:rPr>
        <w:t>Subestación,</w:t>
      </w:r>
      <w:r w:rsidRPr="007A60AB">
        <w:rPr>
          <w:i/>
          <w:color w:val="231F20"/>
          <w:spacing w:val="3"/>
          <w:sz w:val="20"/>
          <w:szCs w:val="20"/>
        </w:rPr>
        <w:t xml:space="preserve"> </w:t>
      </w:r>
      <w:r w:rsidRPr="007A60AB">
        <w:rPr>
          <w:i/>
          <w:color w:val="231F20"/>
          <w:spacing w:val="-1"/>
          <w:sz w:val="20"/>
          <w:szCs w:val="20"/>
        </w:rPr>
        <w:t>que</w:t>
      </w:r>
      <w:r w:rsidRPr="007A60AB">
        <w:rPr>
          <w:i/>
          <w:color w:val="231F20"/>
          <w:spacing w:val="5"/>
          <w:sz w:val="20"/>
          <w:szCs w:val="20"/>
        </w:rPr>
        <w:t xml:space="preserve"> </w:t>
      </w:r>
      <w:r w:rsidRPr="007A60AB">
        <w:rPr>
          <w:i/>
          <w:color w:val="231F20"/>
          <w:sz w:val="20"/>
          <w:szCs w:val="20"/>
        </w:rPr>
        <w:t>se</w:t>
      </w:r>
      <w:r w:rsidRPr="007A60AB">
        <w:rPr>
          <w:i/>
          <w:color w:val="231F20"/>
          <w:spacing w:val="5"/>
          <w:sz w:val="20"/>
          <w:szCs w:val="20"/>
        </w:rPr>
        <w:t xml:space="preserve"> </w:t>
      </w:r>
      <w:r w:rsidRPr="007A60AB">
        <w:rPr>
          <w:i/>
          <w:color w:val="231F20"/>
          <w:spacing w:val="-1"/>
          <w:sz w:val="20"/>
          <w:szCs w:val="20"/>
        </w:rPr>
        <w:t>proyecta</w:t>
      </w:r>
      <w:r w:rsidRPr="007A60AB">
        <w:rPr>
          <w:i/>
          <w:color w:val="231F20"/>
          <w:spacing w:val="61"/>
          <w:sz w:val="20"/>
          <w:szCs w:val="20"/>
        </w:rPr>
        <w:t xml:space="preserve"> </w:t>
      </w:r>
      <w:r w:rsidRPr="007A60AB">
        <w:rPr>
          <w:i/>
          <w:color w:val="231F20"/>
          <w:spacing w:val="-1"/>
          <w:sz w:val="20"/>
          <w:szCs w:val="20"/>
        </w:rPr>
        <w:t>sobre</w:t>
      </w:r>
      <w:r w:rsidRPr="007A60AB">
        <w:rPr>
          <w:i/>
          <w:color w:val="231F20"/>
          <w:spacing w:val="18"/>
          <w:sz w:val="20"/>
          <w:szCs w:val="20"/>
        </w:rPr>
        <w:t xml:space="preserve"> </w:t>
      </w:r>
      <w:r w:rsidRPr="007A60AB">
        <w:rPr>
          <w:i/>
          <w:color w:val="231F20"/>
          <w:sz w:val="20"/>
          <w:szCs w:val="20"/>
        </w:rPr>
        <w:t>un</w:t>
      </w:r>
      <w:r w:rsidRPr="007A60AB">
        <w:rPr>
          <w:i/>
          <w:color w:val="231F20"/>
          <w:spacing w:val="18"/>
          <w:sz w:val="20"/>
          <w:szCs w:val="20"/>
        </w:rPr>
        <w:t xml:space="preserve"> </w:t>
      </w:r>
      <w:r w:rsidRPr="007A60AB">
        <w:rPr>
          <w:i/>
          <w:color w:val="231F20"/>
          <w:spacing w:val="-1"/>
          <w:sz w:val="20"/>
          <w:szCs w:val="20"/>
        </w:rPr>
        <w:t>vial</w:t>
      </w:r>
      <w:r w:rsidRPr="007A60AB">
        <w:rPr>
          <w:i/>
          <w:color w:val="231F20"/>
          <w:spacing w:val="16"/>
          <w:sz w:val="20"/>
          <w:szCs w:val="20"/>
        </w:rPr>
        <w:t xml:space="preserve"> </w:t>
      </w:r>
      <w:r w:rsidRPr="007A60AB">
        <w:rPr>
          <w:i/>
          <w:color w:val="231F20"/>
          <w:spacing w:val="-1"/>
          <w:sz w:val="20"/>
          <w:szCs w:val="20"/>
        </w:rPr>
        <w:t>existente,</w:t>
      </w:r>
      <w:r w:rsidRPr="007A60AB">
        <w:rPr>
          <w:i/>
          <w:color w:val="231F20"/>
          <w:spacing w:val="18"/>
          <w:sz w:val="20"/>
          <w:szCs w:val="20"/>
        </w:rPr>
        <w:t xml:space="preserve"> </w:t>
      </w:r>
      <w:r w:rsidRPr="007A60AB">
        <w:rPr>
          <w:i/>
          <w:color w:val="231F20"/>
          <w:sz w:val="20"/>
          <w:szCs w:val="20"/>
        </w:rPr>
        <w:t>por</w:t>
      </w:r>
      <w:r w:rsidRPr="007A60AB">
        <w:rPr>
          <w:i/>
          <w:color w:val="231F20"/>
          <w:spacing w:val="16"/>
          <w:sz w:val="20"/>
          <w:szCs w:val="20"/>
        </w:rPr>
        <w:t xml:space="preserve"> </w:t>
      </w:r>
      <w:r w:rsidRPr="007A60AB">
        <w:rPr>
          <w:i/>
          <w:color w:val="231F20"/>
          <w:spacing w:val="-1"/>
          <w:sz w:val="20"/>
          <w:szCs w:val="20"/>
        </w:rPr>
        <w:t>la</w:t>
      </w:r>
      <w:r w:rsidRPr="007A60AB">
        <w:rPr>
          <w:i/>
          <w:color w:val="231F20"/>
          <w:spacing w:val="18"/>
          <w:sz w:val="20"/>
          <w:szCs w:val="20"/>
        </w:rPr>
        <w:t xml:space="preserve"> </w:t>
      </w:r>
      <w:r w:rsidRPr="007A60AB">
        <w:rPr>
          <w:i/>
          <w:color w:val="231F20"/>
          <w:spacing w:val="-1"/>
          <w:sz w:val="20"/>
          <w:szCs w:val="20"/>
        </w:rPr>
        <w:t>naturaleza</w:t>
      </w:r>
      <w:r w:rsidRPr="007A60AB">
        <w:rPr>
          <w:i/>
          <w:color w:val="231F20"/>
          <w:spacing w:val="18"/>
          <w:sz w:val="20"/>
          <w:szCs w:val="20"/>
        </w:rPr>
        <w:t xml:space="preserve"> </w:t>
      </w:r>
      <w:r w:rsidRPr="007A60AB">
        <w:rPr>
          <w:i/>
          <w:color w:val="231F20"/>
          <w:sz w:val="20"/>
          <w:szCs w:val="20"/>
        </w:rPr>
        <w:t>de</w:t>
      </w:r>
      <w:r w:rsidRPr="007A60AB">
        <w:rPr>
          <w:i/>
          <w:color w:val="231F20"/>
          <w:spacing w:val="18"/>
          <w:sz w:val="20"/>
          <w:szCs w:val="20"/>
        </w:rPr>
        <w:t xml:space="preserve"> </w:t>
      </w:r>
      <w:r w:rsidRPr="007A60AB">
        <w:rPr>
          <w:i/>
          <w:color w:val="231F20"/>
          <w:spacing w:val="-1"/>
          <w:sz w:val="20"/>
          <w:szCs w:val="20"/>
        </w:rPr>
        <w:t>las</w:t>
      </w:r>
      <w:r w:rsidRPr="007A60AB">
        <w:rPr>
          <w:i/>
          <w:color w:val="231F20"/>
          <w:spacing w:val="18"/>
          <w:sz w:val="20"/>
          <w:szCs w:val="20"/>
        </w:rPr>
        <w:t xml:space="preserve"> </w:t>
      </w:r>
      <w:r w:rsidRPr="007A60AB">
        <w:rPr>
          <w:i/>
          <w:color w:val="231F20"/>
          <w:spacing w:val="-1"/>
          <w:sz w:val="20"/>
          <w:szCs w:val="20"/>
        </w:rPr>
        <w:t>acciones</w:t>
      </w:r>
      <w:r w:rsidRPr="007A60AB">
        <w:rPr>
          <w:i/>
          <w:color w:val="231F20"/>
          <w:spacing w:val="18"/>
          <w:sz w:val="20"/>
          <w:szCs w:val="20"/>
        </w:rPr>
        <w:t xml:space="preserve"> </w:t>
      </w:r>
      <w:r w:rsidRPr="007A60AB">
        <w:rPr>
          <w:i/>
          <w:color w:val="231F20"/>
          <w:spacing w:val="-1"/>
          <w:sz w:val="20"/>
          <w:szCs w:val="20"/>
        </w:rPr>
        <w:t>para</w:t>
      </w:r>
      <w:r w:rsidRPr="007A60AB">
        <w:rPr>
          <w:i/>
          <w:color w:val="231F20"/>
          <w:spacing w:val="18"/>
          <w:sz w:val="20"/>
          <w:szCs w:val="20"/>
        </w:rPr>
        <w:t xml:space="preserve"> </w:t>
      </w:r>
      <w:r w:rsidRPr="007A60AB">
        <w:rPr>
          <w:i/>
          <w:color w:val="231F20"/>
          <w:sz w:val="20"/>
          <w:szCs w:val="20"/>
        </w:rPr>
        <w:t>su</w:t>
      </w:r>
      <w:r w:rsidRPr="007A60AB">
        <w:rPr>
          <w:i/>
          <w:color w:val="231F20"/>
          <w:spacing w:val="18"/>
          <w:sz w:val="20"/>
          <w:szCs w:val="20"/>
        </w:rPr>
        <w:t xml:space="preserve"> </w:t>
      </w:r>
      <w:r w:rsidRPr="007A60AB">
        <w:rPr>
          <w:i/>
          <w:color w:val="231F20"/>
          <w:spacing w:val="-1"/>
          <w:sz w:val="20"/>
          <w:szCs w:val="20"/>
        </w:rPr>
        <w:t>implantación</w:t>
      </w:r>
      <w:r w:rsidRPr="007A60AB">
        <w:rPr>
          <w:i/>
          <w:color w:val="231F20"/>
          <w:spacing w:val="18"/>
          <w:sz w:val="20"/>
          <w:szCs w:val="20"/>
        </w:rPr>
        <w:t xml:space="preserve"> </w:t>
      </w:r>
      <w:r w:rsidRPr="007A60AB">
        <w:rPr>
          <w:i/>
          <w:color w:val="231F20"/>
          <w:sz w:val="20"/>
          <w:szCs w:val="20"/>
        </w:rPr>
        <w:t>y</w:t>
      </w:r>
      <w:r w:rsidRPr="007A60AB">
        <w:rPr>
          <w:i/>
          <w:color w:val="231F20"/>
          <w:spacing w:val="14"/>
          <w:sz w:val="20"/>
          <w:szCs w:val="20"/>
        </w:rPr>
        <w:t xml:space="preserve"> </w:t>
      </w:r>
      <w:r w:rsidRPr="007A60AB">
        <w:rPr>
          <w:i/>
          <w:color w:val="231F20"/>
          <w:sz w:val="20"/>
          <w:szCs w:val="20"/>
        </w:rPr>
        <w:t>su</w:t>
      </w:r>
      <w:r w:rsidRPr="007A60AB">
        <w:rPr>
          <w:i/>
          <w:color w:val="231F20"/>
          <w:spacing w:val="61"/>
          <w:sz w:val="20"/>
          <w:szCs w:val="20"/>
        </w:rPr>
        <w:t xml:space="preserve"> </w:t>
      </w:r>
      <w:r w:rsidRPr="007A60AB">
        <w:rPr>
          <w:i/>
          <w:color w:val="231F20"/>
          <w:spacing w:val="-1"/>
          <w:sz w:val="20"/>
          <w:szCs w:val="20"/>
        </w:rPr>
        <w:t>posterior</w:t>
      </w:r>
      <w:r w:rsidRPr="007A60AB">
        <w:rPr>
          <w:i/>
          <w:color w:val="231F20"/>
          <w:spacing w:val="44"/>
          <w:sz w:val="20"/>
          <w:szCs w:val="20"/>
        </w:rPr>
        <w:t xml:space="preserve"> </w:t>
      </w:r>
      <w:r w:rsidRPr="007A60AB">
        <w:rPr>
          <w:i/>
          <w:color w:val="231F20"/>
          <w:spacing w:val="-1"/>
          <w:sz w:val="20"/>
          <w:szCs w:val="20"/>
        </w:rPr>
        <w:t>explotación,</w:t>
      </w:r>
      <w:r w:rsidRPr="007A60AB">
        <w:rPr>
          <w:i/>
          <w:color w:val="231F20"/>
          <w:spacing w:val="42"/>
          <w:sz w:val="20"/>
          <w:szCs w:val="20"/>
        </w:rPr>
        <w:t xml:space="preserve"> </w:t>
      </w:r>
      <w:r w:rsidRPr="007A60AB">
        <w:rPr>
          <w:i/>
          <w:color w:val="231F20"/>
          <w:spacing w:val="-1"/>
          <w:sz w:val="20"/>
          <w:szCs w:val="20"/>
        </w:rPr>
        <w:t>entendemos</w:t>
      </w:r>
      <w:r w:rsidRPr="007A60AB">
        <w:rPr>
          <w:i/>
          <w:color w:val="231F20"/>
          <w:spacing w:val="47"/>
          <w:sz w:val="20"/>
          <w:szCs w:val="20"/>
        </w:rPr>
        <w:t xml:space="preserve"> </w:t>
      </w:r>
      <w:r w:rsidRPr="007A60AB">
        <w:rPr>
          <w:i/>
          <w:color w:val="231F20"/>
          <w:spacing w:val="-1"/>
          <w:sz w:val="20"/>
          <w:szCs w:val="20"/>
        </w:rPr>
        <w:t>que</w:t>
      </w:r>
      <w:r w:rsidRPr="007A60AB">
        <w:rPr>
          <w:i/>
          <w:color w:val="231F20"/>
          <w:spacing w:val="46"/>
          <w:sz w:val="20"/>
          <w:szCs w:val="20"/>
        </w:rPr>
        <w:t xml:space="preserve"> </w:t>
      </w:r>
      <w:r w:rsidRPr="007A60AB">
        <w:rPr>
          <w:i/>
          <w:color w:val="231F20"/>
          <w:spacing w:val="-1"/>
          <w:sz w:val="20"/>
          <w:szCs w:val="20"/>
        </w:rPr>
        <w:t>no</w:t>
      </w:r>
      <w:r w:rsidRPr="007A60AB">
        <w:rPr>
          <w:i/>
          <w:color w:val="231F20"/>
          <w:spacing w:val="47"/>
          <w:sz w:val="20"/>
          <w:szCs w:val="20"/>
        </w:rPr>
        <w:t xml:space="preserve"> </w:t>
      </w:r>
      <w:r w:rsidRPr="007A60AB">
        <w:rPr>
          <w:i/>
          <w:color w:val="231F20"/>
          <w:spacing w:val="-1"/>
          <w:sz w:val="20"/>
          <w:szCs w:val="20"/>
        </w:rPr>
        <w:t>tendrá</w:t>
      </w:r>
      <w:r w:rsidRPr="007A60AB">
        <w:rPr>
          <w:i/>
          <w:color w:val="231F20"/>
          <w:spacing w:val="44"/>
          <w:sz w:val="20"/>
          <w:szCs w:val="20"/>
        </w:rPr>
        <w:t xml:space="preserve"> </w:t>
      </w:r>
      <w:r w:rsidRPr="007A60AB">
        <w:rPr>
          <w:i/>
          <w:color w:val="231F20"/>
          <w:spacing w:val="-1"/>
          <w:sz w:val="20"/>
          <w:szCs w:val="20"/>
        </w:rPr>
        <w:t>ninguna</w:t>
      </w:r>
      <w:r w:rsidRPr="007A60AB">
        <w:rPr>
          <w:i/>
          <w:color w:val="231F20"/>
          <w:spacing w:val="44"/>
          <w:sz w:val="20"/>
          <w:szCs w:val="20"/>
        </w:rPr>
        <w:t xml:space="preserve"> </w:t>
      </w:r>
      <w:r w:rsidRPr="007A60AB">
        <w:rPr>
          <w:i/>
          <w:color w:val="231F20"/>
          <w:spacing w:val="-1"/>
          <w:sz w:val="20"/>
          <w:szCs w:val="20"/>
        </w:rPr>
        <w:t>afección</w:t>
      </w:r>
      <w:r w:rsidRPr="007A60AB">
        <w:rPr>
          <w:i/>
          <w:color w:val="231F20"/>
          <w:spacing w:val="46"/>
          <w:sz w:val="20"/>
          <w:szCs w:val="20"/>
        </w:rPr>
        <w:t xml:space="preserve"> </w:t>
      </w:r>
      <w:r w:rsidRPr="007A60AB">
        <w:rPr>
          <w:i/>
          <w:color w:val="231F20"/>
          <w:spacing w:val="-1"/>
          <w:sz w:val="20"/>
          <w:szCs w:val="20"/>
        </w:rPr>
        <w:t>significativa</w:t>
      </w:r>
      <w:r w:rsidRPr="007A60AB">
        <w:rPr>
          <w:i/>
          <w:color w:val="231F20"/>
          <w:spacing w:val="47"/>
          <w:sz w:val="20"/>
          <w:szCs w:val="20"/>
        </w:rPr>
        <w:t xml:space="preserve"> </w:t>
      </w:r>
      <w:r w:rsidRPr="007A60AB">
        <w:rPr>
          <w:i/>
          <w:color w:val="231F20"/>
          <w:sz w:val="20"/>
          <w:szCs w:val="20"/>
        </w:rPr>
        <w:t>al</w:t>
      </w:r>
      <w:r w:rsidRPr="007A60AB">
        <w:rPr>
          <w:i/>
          <w:color w:val="231F20"/>
          <w:spacing w:val="73"/>
          <w:sz w:val="20"/>
          <w:szCs w:val="20"/>
        </w:rPr>
        <w:t xml:space="preserve"> </w:t>
      </w:r>
      <w:r w:rsidRPr="007A60AB">
        <w:rPr>
          <w:i/>
          <w:color w:val="231F20"/>
          <w:spacing w:val="-1"/>
          <w:sz w:val="20"/>
          <w:szCs w:val="20"/>
        </w:rPr>
        <w:t>aprovechamiento</w:t>
      </w:r>
      <w:r w:rsidRPr="007A60AB">
        <w:rPr>
          <w:i/>
          <w:color w:val="231F20"/>
          <w:spacing w:val="1"/>
          <w:sz w:val="20"/>
          <w:szCs w:val="20"/>
        </w:rPr>
        <w:t xml:space="preserve"> </w:t>
      </w:r>
      <w:r w:rsidRPr="007A60AB">
        <w:rPr>
          <w:i/>
          <w:color w:val="231F20"/>
          <w:spacing w:val="-1"/>
          <w:sz w:val="20"/>
          <w:szCs w:val="20"/>
        </w:rPr>
        <w:t>de</w:t>
      </w:r>
      <w:r w:rsidRPr="007A60AB">
        <w:rPr>
          <w:i/>
          <w:color w:val="231F20"/>
          <w:spacing w:val="1"/>
          <w:sz w:val="20"/>
          <w:szCs w:val="20"/>
        </w:rPr>
        <w:t xml:space="preserve"> </w:t>
      </w:r>
      <w:r w:rsidRPr="007A60AB">
        <w:rPr>
          <w:i/>
          <w:color w:val="231F20"/>
          <w:spacing w:val="-1"/>
          <w:sz w:val="20"/>
          <w:szCs w:val="20"/>
        </w:rPr>
        <w:t>las</w:t>
      </w:r>
      <w:r w:rsidRPr="007A60AB">
        <w:rPr>
          <w:i/>
          <w:color w:val="231F20"/>
          <w:sz w:val="20"/>
          <w:szCs w:val="20"/>
        </w:rPr>
        <w:t xml:space="preserve"> </w:t>
      </w:r>
      <w:r w:rsidRPr="007A60AB">
        <w:rPr>
          <w:i/>
          <w:color w:val="231F20"/>
          <w:spacing w:val="-1"/>
          <w:sz w:val="20"/>
          <w:szCs w:val="20"/>
        </w:rPr>
        <w:t>aguas.</w:t>
      </w:r>
    </w:p>
    <w:p w14:paraId="0C5848BD" w14:textId="7F25DED5" w:rsidR="001F2605" w:rsidRPr="007A60AB" w:rsidRDefault="001F2605" w:rsidP="007A60AB">
      <w:pPr>
        <w:pStyle w:val="Textoindependiente"/>
        <w:kinsoku w:val="0"/>
        <w:overflowPunct w:val="0"/>
        <w:spacing w:before="120"/>
        <w:ind w:left="708" w:right="116"/>
        <w:jc w:val="both"/>
        <w:rPr>
          <w:i/>
          <w:color w:val="000000"/>
          <w:sz w:val="20"/>
          <w:szCs w:val="20"/>
        </w:rPr>
      </w:pPr>
      <w:r w:rsidRPr="007A60AB">
        <w:rPr>
          <w:i/>
          <w:color w:val="231F20"/>
          <w:sz w:val="20"/>
          <w:szCs w:val="20"/>
        </w:rPr>
        <w:t>En</w:t>
      </w:r>
      <w:r w:rsidRPr="007A60AB">
        <w:rPr>
          <w:i/>
          <w:color w:val="231F20"/>
          <w:spacing w:val="48"/>
          <w:sz w:val="20"/>
          <w:szCs w:val="20"/>
        </w:rPr>
        <w:t xml:space="preserve"> </w:t>
      </w:r>
      <w:r w:rsidRPr="007A60AB">
        <w:rPr>
          <w:i/>
          <w:color w:val="231F20"/>
          <w:sz w:val="20"/>
          <w:szCs w:val="20"/>
        </w:rPr>
        <w:t>el</w:t>
      </w:r>
      <w:r w:rsidRPr="007A60AB">
        <w:rPr>
          <w:i/>
          <w:color w:val="231F20"/>
          <w:spacing w:val="48"/>
          <w:sz w:val="20"/>
          <w:szCs w:val="20"/>
        </w:rPr>
        <w:t xml:space="preserve"> </w:t>
      </w:r>
      <w:r w:rsidRPr="007A60AB">
        <w:rPr>
          <w:i/>
          <w:color w:val="231F20"/>
          <w:spacing w:val="-1"/>
          <w:sz w:val="20"/>
          <w:szCs w:val="20"/>
        </w:rPr>
        <w:t>entorno</w:t>
      </w:r>
      <w:r w:rsidRPr="007A60AB">
        <w:rPr>
          <w:i/>
          <w:color w:val="231F20"/>
          <w:spacing w:val="49"/>
          <w:sz w:val="20"/>
          <w:szCs w:val="20"/>
        </w:rPr>
        <w:t xml:space="preserve"> </w:t>
      </w:r>
      <w:r w:rsidRPr="007A60AB">
        <w:rPr>
          <w:i/>
          <w:color w:val="231F20"/>
          <w:spacing w:val="-1"/>
          <w:sz w:val="20"/>
          <w:szCs w:val="20"/>
        </w:rPr>
        <w:t>del</w:t>
      </w:r>
      <w:r w:rsidRPr="007A60AB">
        <w:rPr>
          <w:i/>
          <w:color w:val="231F20"/>
          <w:spacing w:val="47"/>
          <w:sz w:val="20"/>
          <w:szCs w:val="20"/>
        </w:rPr>
        <w:t xml:space="preserve"> </w:t>
      </w:r>
      <w:r w:rsidRPr="007A60AB">
        <w:rPr>
          <w:i/>
          <w:color w:val="231F20"/>
          <w:spacing w:val="-1"/>
          <w:sz w:val="20"/>
          <w:szCs w:val="20"/>
        </w:rPr>
        <w:t>Proyecto</w:t>
      </w:r>
      <w:r w:rsidRPr="007A60AB">
        <w:rPr>
          <w:i/>
          <w:color w:val="231F20"/>
          <w:spacing w:val="49"/>
          <w:sz w:val="20"/>
          <w:szCs w:val="20"/>
        </w:rPr>
        <w:t xml:space="preserve"> </w:t>
      </w:r>
      <w:r w:rsidRPr="007A60AB">
        <w:rPr>
          <w:i/>
          <w:color w:val="231F20"/>
          <w:spacing w:val="-1"/>
          <w:sz w:val="20"/>
          <w:szCs w:val="20"/>
        </w:rPr>
        <w:t>existen,</w:t>
      </w:r>
      <w:r w:rsidRPr="007A60AB">
        <w:rPr>
          <w:i/>
          <w:color w:val="231F20"/>
          <w:spacing w:val="49"/>
          <w:sz w:val="20"/>
          <w:szCs w:val="20"/>
        </w:rPr>
        <w:t xml:space="preserve"> </w:t>
      </w:r>
      <w:r w:rsidRPr="007A60AB">
        <w:rPr>
          <w:i/>
          <w:color w:val="231F20"/>
          <w:spacing w:val="-1"/>
          <w:sz w:val="20"/>
          <w:szCs w:val="20"/>
        </w:rPr>
        <w:t>además,</w:t>
      </w:r>
      <w:r w:rsidRPr="007A60AB">
        <w:rPr>
          <w:i/>
          <w:color w:val="231F20"/>
          <w:spacing w:val="49"/>
          <w:sz w:val="20"/>
          <w:szCs w:val="20"/>
        </w:rPr>
        <w:t xml:space="preserve"> </w:t>
      </w:r>
      <w:r w:rsidRPr="007A60AB">
        <w:rPr>
          <w:i/>
          <w:color w:val="231F20"/>
          <w:spacing w:val="-1"/>
          <w:sz w:val="20"/>
          <w:szCs w:val="20"/>
        </w:rPr>
        <w:t>captaciones</w:t>
      </w:r>
      <w:r w:rsidRPr="007A60AB">
        <w:rPr>
          <w:i/>
          <w:color w:val="231F20"/>
          <w:spacing w:val="48"/>
          <w:sz w:val="20"/>
          <w:szCs w:val="20"/>
        </w:rPr>
        <w:t xml:space="preserve"> </w:t>
      </w:r>
      <w:r w:rsidRPr="007A60AB">
        <w:rPr>
          <w:i/>
          <w:color w:val="231F20"/>
          <w:spacing w:val="-1"/>
          <w:sz w:val="20"/>
          <w:szCs w:val="20"/>
        </w:rPr>
        <w:t>de</w:t>
      </w:r>
      <w:r w:rsidRPr="007A60AB">
        <w:rPr>
          <w:i/>
          <w:color w:val="231F20"/>
          <w:spacing w:val="49"/>
          <w:sz w:val="20"/>
          <w:szCs w:val="20"/>
        </w:rPr>
        <w:t xml:space="preserve"> </w:t>
      </w:r>
      <w:r w:rsidRPr="007A60AB">
        <w:rPr>
          <w:i/>
          <w:color w:val="231F20"/>
          <w:spacing w:val="-1"/>
          <w:sz w:val="20"/>
          <w:szCs w:val="20"/>
        </w:rPr>
        <w:t>aguas</w:t>
      </w:r>
      <w:r w:rsidRPr="007A60AB">
        <w:rPr>
          <w:i/>
          <w:color w:val="231F20"/>
          <w:spacing w:val="49"/>
          <w:sz w:val="20"/>
          <w:szCs w:val="20"/>
        </w:rPr>
        <w:t xml:space="preserve"> </w:t>
      </w:r>
      <w:r w:rsidRPr="007A60AB">
        <w:rPr>
          <w:i/>
          <w:color w:val="231F20"/>
          <w:spacing w:val="-1"/>
          <w:sz w:val="20"/>
          <w:szCs w:val="20"/>
        </w:rPr>
        <w:t>subterráneas</w:t>
      </w:r>
      <w:r w:rsidRPr="007A60AB">
        <w:rPr>
          <w:i/>
          <w:color w:val="231F20"/>
          <w:spacing w:val="61"/>
          <w:sz w:val="20"/>
          <w:szCs w:val="20"/>
        </w:rPr>
        <w:t xml:space="preserve"> </w:t>
      </w:r>
      <w:r w:rsidRPr="007A60AB">
        <w:rPr>
          <w:i/>
          <w:color w:val="231F20"/>
          <w:spacing w:val="-1"/>
          <w:sz w:val="20"/>
          <w:szCs w:val="20"/>
        </w:rPr>
        <w:t>para</w:t>
      </w:r>
      <w:r w:rsidRPr="007A60AB">
        <w:rPr>
          <w:i/>
          <w:color w:val="231F20"/>
          <w:spacing w:val="21"/>
          <w:sz w:val="20"/>
          <w:szCs w:val="20"/>
        </w:rPr>
        <w:t xml:space="preserve"> </w:t>
      </w:r>
      <w:r w:rsidRPr="007A60AB">
        <w:rPr>
          <w:i/>
          <w:color w:val="231F20"/>
          <w:spacing w:val="-1"/>
          <w:sz w:val="20"/>
          <w:szCs w:val="20"/>
        </w:rPr>
        <w:t>consumo.</w:t>
      </w:r>
      <w:r w:rsidRPr="007A60AB">
        <w:rPr>
          <w:i/>
          <w:color w:val="231F20"/>
          <w:spacing w:val="18"/>
          <w:sz w:val="20"/>
          <w:szCs w:val="20"/>
        </w:rPr>
        <w:t xml:space="preserve"> </w:t>
      </w:r>
      <w:r w:rsidRPr="007A60AB">
        <w:rPr>
          <w:i/>
          <w:color w:val="231F20"/>
          <w:sz w:val="20"/>
          <w:szCs w:val="20"/>
        </w:rPr>
        <w:t>La</w:t>
      </w:r>
      <w:r w:rsidRPr="007A60AB">
        <w:rPr>
          <w:i/>
          <w:color w:val="231F20"/>
          <w:spacing w:val="18"/>
          <w:sz w:val="20"/>
          <w:szCs w:val="20"/>
        </w:rPr>
        <w:t xml:space="preserve"> </w:t>
      </w:r>
      <w:r w:rsidRPr="007A60AB">
        <w:rPr>
          <w:i/>
          <w:color w:val="231F20"/>
          <w:sz w:val="20"/>
          <w:szCs w:val="20"/>
        </w:rPr>
        <w:t>más</w:t>
      </w:r>
      <w:r w:rsidRPr="007A60AB">
        <w:rPr>
          <w:i/>
          <w:color w:val="231F20"/>
          <w:spacing w:val="21"/>
          <w:sz w:val="20"/>
          <w:szCs w:val="20"/>
        </w:rPr>
        <w:t xml:space="preserve"> </w:t>
      </w:r>
      <w:r w:rsidRPr="007A60AB">
        <w:rPr>
          <w:i/>
          <w:color w:val="231F20"/>
          <w:spacing w:val="-1"/>
          <w:sz w:val="20"/>
          <w:szCs w:val="20"/>
        </w:rPr>
        <w:t>cercana</w:t>
      </w:r>
      <w:r w:rsidRPr="007A60AB">
        <w:rPr>
          <w:i/>
          <w:color w:val="231F20"/>
          <w:spacing w:val="19"/>
          <w:sz w:val="20"/>
          <w:szCs w:val="20"/>
        </w:rPr>
        <w:t xml:space="preserve"> </w:t>
      </w:r>
      <w:r w:rsidRPr="007A60AB">
        <w:rPr>
          <w:i/>
          <w:color w:val="231F20"/>
          <w:sz w:val="20"/>
          <w:szCs w:val="20"/>
        </w:rPr>
        <w:t>de</w:t>
      </w:r>
      <w:r w:rsidRPr="007A60AB">
        <w:rPr>
          <w:i/>
          <w:color w:val="231F20"/>
          <w:spacing w:val="18"/>
          <w:sz w:val="20"/>
          <w:szCs w:val="20"/>
        </w:rPr>
        <w:t xml:space="preserve"> </w:t>
      </w:r>
      <w:r w:rsidRPr="007A60AB">
        <w:rPr>
          <w:i/>
          <w:color w:val="231F20"/>
          <w:spacing w:val="-1"/>
          <w:sz w:val="20"/>
          <w:szCs w:val="20"/>
        </w:rPr>
        <w:t>estas</w:t>
      </w:r>
      <w:r w:rsidRPr="007A60AB">
        <w:rPr>
          <w:i/>
          <w:color w:val="231F20"/>
          <w:spacing w:val="21"/>
          <w:sz w:val="20"/>
          <w:szCs w:val="20"/>
        </w:rPr>
        <w:t xml:space="preserve"> </w:t>
      </w:r>
      <w:r w:rsidRPr="007A60AB">
        <w:rPr>
          <w:i/>
          <w:color w:val="231F20"/>
          <w:spacing w:val="-1"/>
          <w:sz w:val="20"/>
          <w:szCs w:val="20"/>
        </w:rPr>
        <w:t>captaciones</w:t>
      </w:r>
      <w:r w:rsidRPr="007A60AB">
        <w:rPr>
          <w:i/>
          <w:color w:val="231F20"/>
          <w:spacing w:val="21"/>
          <w:sz w:val="20"/>
          <w:szCs w:val="20"/>
        </w:rPr>
        <w:t xml:space="preserve"> </w:t>
      </w:r>
      <w:r w:rsidRPr="007A60AB">
        <w:rPr>
          <w:i/>
          <w:color w:val="231F20"/>
          <w:sz w:val="20"/>
          <w:szCs w:val="20"/>
        </w:rPr>
        <w:t>a</w:t>
      </w:r>
      <w:r w:rsidRPr="007A60AB">
        <w:rPr>
          <w:i/>
          <w:color w:val="231F20"/>
          <w:spacing w:val="19"/>
          <w:sz w:val="20"/>
          <w:szCs w:val="20"/>
        </w:rPr>
        <w:t xml:space="preserve"> </w:t>
      </w:r>
      <w:r w:rsidRPr="007A60AB">
        <w:rPr>
          <w:i/>
          <w:color w:val="231F20"/>
          <w:spacing w:val="-1"/>
          <w:sz w:val="20"/>
          <w:szCs w:val="20"/>
        </w:rPr>
        <w:t>alguna</w:t>
      </w:r>
      <w:r w:rsidRPr="007A60AB">
        <w:rPr>
          <w:i/>
          <w:color w:val="231F20"/>
          <w:spacing w:val="21"/>
          <w:sz w:val="20"/>
          <w:szCs w:val="20"/>
        </w:rPr>
        <w:t xml:space="preserve"> </w:t>
      </w:r>
      <w:r w:rsidRPr="007A60AB">
        <w:rPr>
          <w:i/>
          <w:color w:val="231F20"/>
          <w:spacing w:val="-1"/>
          <w:sz w:val="20"/>
          <w:szCs w:val="20"/>
        </w:rPr>
        <w:t>de</w:t>
      </w:r>
      <w:r w:rsidRPr="007A60AB">
        <w:rPr>
          <w:i/>
          <w:color w:val="231F20"/>
          <w:spacing w:val="21"/>
          <w:sz w:val="20"/>
          <w:szCs w:val="20"/>
        </w:rPr>
        <w:t xml:space="preserve"> </w:t>
      </w:r>
      <w:r w:rsidRPr="007A60AB">
        <w:rPr>
          <w:i/>
          <w:color w:val="231F20"/>
          <w:spacing w:val="-1"/>
          <w:sz w:val="20"/>
          <w:szCs w:val="20"/>
        </w:rPr>
        <w:t>las</w:t>
      </w:r>
      <w:r w:rsidRPr="007A60AB">
        <w:rPr>
          <w:i/>
          <w:color w:val="231F20"/>
          <w:spacing w:val="45"/>
          <w:sz w:val="20"/>
          <w:szCs w:val="20"/>
        </w:rPr>
        <w:t xml:space="preserve"> </w:t>
      </w:r>
      <w:r w:rsidRPr="007A60AB">
        <w:rPr>
          <w:i/>
          <w:color w:val="231F20"/>
          <w:spacing w:val="-1"/>
          <w:sz w:val="20"/>
          <w:szCs w:val="20"/>
        </w:rPr>
        <w:t>infraestructuras</w:t>
      </w:r>
      <w:r w:rsidRPr="007A60AB">
        <w:rPr>
          <w:i/>
          <w:color w:val="231F20"/>
          <w:sz w:val="20"/>
          <w:szCs w:val="20"/>
        </w:rPr>
        <w:t xml:space="preserve"> </w:t>
      </w:r>
      <w:r w:rsidRPr="007A60AB">
        <w:rPr>
          <w:i/>
          <w:color w:val="231F20"/>
          <w:spacing w:val="32"/>
          <w:sz w:val="20"/>
          <w:szCs w:val="20"/>
        </w:rPr>
        <w:t xml:space="preserve"> </w:t>
      </w:r>
      <w:r w:rsidRPr="007A60AB">
        <w:rPr>
          <w:i/>
          <w:color w:val="231F20"/>
          <w:sz w:val="20"/>
          <w:szCs w:val="20"/>
        </w:rPr>
        <w:t xml:space="preserve">del </w:t>
      </w:r>
      <w:r w:rsidRPr="007A60AB">
        <w:rPr>
          <w:i/>
          <w:color w:val="231F20"/>
          <w:spacing w:val="29"/>
          <w:sz w:val="20"/>
          <w:szCs w:val="20"/>
        </w:rPr>
        <w:t xml:space="preserve"> </w:t>
      </w:r>
      <w:r w:rsidRPr="007A60AB">
        <w:rPr>
          <w:i/>
          <w:color w:val="231F20"/>
          <w:spacing w:val="-1"/>
          <w:sz w:val="20"/>
          <w:szCs w:val="20"/>
        </w:rPr>
        <w:t>Proyecto</w:t>
      </w:r>
      <w:r w:rsidRPr="007A60AB">
        <w:rPr>
          <w:i/>
          <w:color w:val="231F20"/>
          <w:sz w:val="20"/>
          <w:szCs w:val="20"/>
        </w:rPr>
        <w:t xml:space="preserve"> </w:t>
      </w:r>
      <w:r w:rsidRPr="007A60AB">
        <w:rPr>
          <w:i/>
          <w:color w:val="231F20"/>
          <w:spacing w:val="32"/>
          <w:sz w:val="20"/>
          <w:szCs w:val="20"/>
        </w:rPr>
        <w:t xml:space="preserve"> </w:t>
      </w:r>
      <w:r w:rsidRPr="007A60AB">
        <w:rPr>
          <w:i/>
          <w:color w:val="231F20"/>
          <w:sz w:val="20"/>
          <w:szCs w:val="20"/>
        </w:rPr>
        <w:t xml:space="preserve">se </w:t>
      </w:r>
      <w:r w:rsidRPr="007A60AB">
        <w:rPr>
          <w:i/>
          <w:color w:val="231F20"/>
          <w:spacing w:val="32"/>
          <w:sz w:val="20"/>
          <w:szCs w:val="20"/>
        </w:rPr>
        <w:t xml:space="preserve"> </w:t>
      </w:r>
      <w:r w:rsidRPr="007A60AB">
        <w:rPr>
          <w:i/>
          <w:color w:val="231F20"/>
          <w:spacing w:val="-1"/>
          <w:sz w:val="20"/>
          <w:szCs w:val="20"/>
        </w:rPr>
        <w:t>encuentra</w:t>
      </w:r>
      <w:r w:rsidRPr="007A60AB">
        <w:rPr>
          <w:i/>
          <w:color w:val="231F20"/>
          <w:sz w:val="20"/>
          <w:szCs w:val="20"/>
        </w:rPr>
        <w:t xml:space="preserve"> </w:t>
      </w:r>
      <w:r w:rsidRPr="007A60AB">
        <w:rPr>
          <w:i/>
          <w:color w:val="231F20"/>
          <w:spacing w:val="32"/>
          <w:sz w:val="20"/>
          <w:szCs w:val="20"/>
        </w:rPr>
        <w:t xml:space="preserve"> </w:t>
      </w:r>
      <w:r w:rsidRPr="007A60AB">
        <w:rPr>
          <w:i/>
          <w:color w:val="231F20"/>
          <w:sz w:val="20"/>
          <w:szCs w:val="20"/>
        </w:rPr>
        <w:t xml:space="preserve">135 </w:t>
      </w:r>
      <w:r w:rsidRPr="007A60AB">
        <w:rPr>
          <w:i/>
          <w:color w:val="231F20"/>
          <w:spacing w:val="30"/>
          <w:sz w:val="20"/>
          <w:szCs w:val="20"/>
        </w:rPr>
        <w:t xml:space="preserve"> </w:t>
      </w:r>
      <w:r w:rsidRPr="007A60AB">
        <w:rPr>
          <w:i/>
          <w:color w:val="231F20"/>
          <w:sz w:val="20"/>
          <w:szCs w:val="20"/>
        </w:rPr>
        <w:t xml:space="preserve">m. </w:t>
      </w:r>
      <w:r w:rsidRPr="007A60AB">
        <w:rPr>
          <w:i/>
          <w:color w:val="231F20"/>
          <w:spacing w:val="32"/>
          <w:sz w:val="20"/>
          <w:szCs w:val="20"/>
        </w:rPr>
        <w:t xml:space="preserve"> </w:t>
      </w:r>
      <w:r w:rsidRPr="007A60AB">
        <w:rPr>
          <w:i/>
          <w:color w:val="231F20"/>
          <w:sz w:val="20"/>
          <w:szCs w:val="20"/>
        </w:rPr>
        <w:t xml:space="preserve">al </w:t>
      </w:r>
      <w:r w:rsidRPr="007A60AB">
        <w:rPr>
          <w:i/>
          <w:color w:val="231F20"/>
          <w:spacing w:val="31"/>
          <w:sz w:val="20"/>
          <w:szCs w:val="20"/>
        </w:rPr>
        <w:t xml:space="preserve"> </w:t>
      </w:r>
      <w:r w:rsidRPr="007A60AB">
        <w:rPr>
          <w:i/>
          <w:color w:val="231F20"/>
          <w:sz w:val="20"/>
          <w:szCs w:val="20"/>
        </w:rPr>
        <w:t xml:space="preserve">Sur </w:t>
      </w:r>
      <w:r w:rsidRPr="007A60AB">
        <w:rPr>
          <w:i/>
          <w:color w:val="231F20"/>
          <w:spacing w:val="31"/>
          <w:sz w:val="20"/>
          <w:szCs w:val="20"/>
        </w:rPr>
        <w:t xml:space="preserve"> </w:t>
      </w:r>
      <w:r w:rsidRPr="007A60AB">
        <w:rPr>
          <w:i/>
          <w:color w:val="231F20"/>
          <w:spacing w:val="-1"/>
          <w:sz w:val="20"/>
          <w:szCs w:val="20"/>
        </w:rPr>
        <w:t>de</w:t>
      </w:r>
      <w:r w:rsidRPr="007A60AB">
        <w:rPr>
          <w:i/>
          <w:color w:val="231F20"/>
          <w:sz w:val="20"/>
          <w:szCs w:val="20"/>
        </w:rPr>
        <w:t xml:space="preserve"> </w:t>
      </w:r>
      <w:r w:rsidRPr="007A60AB">
        <w:rPr>
          <w:i/>
          <w:color w:val="231F20"/>
          <w:spacing w:val="33"/>
          <w:sz w:val="20"/>
          <w:szCs w:val="20"/>
        </w:rPr>
        <w:t xml:space="preserve"> </w:t>
      </w:r>
      <w:r w:rsidRPr="007A60AB">
        <w:rPr>
          <w:i/>
          <w:color w:val="231F20"/>
          <w:spacing w:val="-1"/>
          <w:sz w:val="20"/>
          <w:szCs w:val="20"/>
        </w:rPr>
        <w:t>la</w:t>
      </w:r>
      <w:r w:rsidRPr="007A60AB">
        <w:rPr>
          <w:i/>
          <w:color w:val="231F20"/>
          <w:sz w:val="20"/>
          <w:szCs w:val="20"/>
        </w:rPr>
        <w:t xml:space="preserve"> </w:t>
      </w:r>
      <w:r w:rsidRPr="007A60AB">
        <w:rPr>
          <w:i/>
          <w:color w:val="231F20"/>
          <w:spacing w:val="32"/>
          <w:sz w:val="20"/>
          <w:szCs w:val="20"/>
        </w:rPr>
        <w:t xml:space="preserve"> </w:t>
      </w:r>
      <w:r w:rsidRPr="007A60AB">
        <w:rPr>
          <w:i/>
          <w:color w:val="231F20"/>
          <w:spacing w:val="-1"/>
          <w:sz w:val="20"/>
          <w:szCs w:val="20"/>
        </w:rPr>
        <w:t>Subestación</w:t>
      </w:r>
      <w:r w:rsidR="007A60AB" w:rsidRPr="007A60AB">
        <w:rPr>
          <w:i/>
          <w:color w:val="231F20"/>
          <w:spacing w:val="-1"/>
          <w:sz w:val="20"/>
          <w:szCs w:val="20"/>
        </w:rPr>
        <w:t xml:space="preserve"> </w:t>
      </w:r>
      <w:r w:rsidRPr="007A60AB">
        <w:rPr>
          <w:i/>
          <w:color w:val="231F20"/>
          <w:spacing w:val="-1"/>
          <w:sz w:val="20"/>
          <w:szCs w:val="20"/>
        </w:rPr>
        <w:t>Barrantes</w:t>
      </w:r>
      <w:r w:rsidRPr="007A60AB">
        <w:rPr>
          <w:i/>
          <w:color w:val="231F20"/>
          <w:spacing w:val="24"/>
          <w:sz w:val="20"/>
          <w:szCs w:val="20"/>
        </w:rPr>
        <w:t xml:space="preserve"> </w:t>
      </w:r>
      <w:r w:rsidRPr="007A60AB">
        <w:rPr>
          <w:i/>
          <w:color w:val="231F20"/>
          <w:sz w:val="20"/>
          <w:szCs w:val="20"/>
        </w:rPr>
        <w:t>en</w:t>
      </w:r>
      <w:r w:rsidRPr="007A60AB">
        <w:rPr>
          <w:i/>
          <w:color w:val="231F20"/>
          <w:spacing w:val="27"/>
          <w:sz w:val="20"/>
          <w:szCs w:val="20"/>
        </w:rPr>
        <w:t xml:space="preserve"> </w:t>
      </w:r>
      <w:r w:rsidRPr="007A60AB">
        <w:rPr>
          <w:i/>
          <w:color w:val="231F20"/>
          <w:spacing w:val="-2"/>
          <w:sz w:val="20"/>
          <w:szCs w:val="20"/>
        </w:rPr>
        <w:t>la</w:t>
      </w:r>
      <w:r w:rsidRPr="007A60AB">
        <w:rPr>
          <w:i/>
          <w:color w:val="231F20"/>
          <w:spacing w:val="27"/>
          <w:sz w:val="20"/>
          <w:szCs w:val="20"/>
        </w:rPr>
        <w:t xml:space="preserve"> </w:t>
      </w:r>
      <w:r w:rsidRPr="007A60AB">
        <w:rPr>
          <w:i/>
          <w:color w:val="231F20"/>
          <w:spacing w:val="-1"/>
          <w:sz w:val="20"/>
          <w:szCs w:val="20"/>
        </w:rPr>
        <w:t>vertiente</w:t>
      </w:r>
      <w:r w:rsidRPr="007A60AB">
        <w:rPr>
          <w:i/>
          <w:color w:val="231F20"/>
          <w:spacing w:val="25"/>
          <w:sz w:val="20"/>
          <w:szCs w:val="20"/>
        </w:rPr>
        <w:t xml:space="preserve"> </w:t>
      </w:r>
      <w:r w:rsidRPr="007A60AB">
        <w:rPr>
          <w:i/>
          <w:color w:val="231F20"/>
          <w:spacing w:val="-1"/>
          <w:sz w:val="20"/>
          <w:szCs w:val="20"/>
        </w:rPr>
        <w:t>opuesta</w:t>
      </w:r>
      <w:r w:rsidRPr="007A60AB">
        <w:rPr>
          <w:i/>
          <w:color w:val="231F20"/>
          <w:spacing w:val="25"/>
          <w:sz w:val="20"/>
          <w:szCs w:val="20"/>
        </w:rPr>
        <w:t xml:space="preserve"> </w:t>
      </w:r>
      <w:r w:rsidRPr="007A60AB">
        <w:rPr>
          <w:i/>
          <w:color w:val="231F20"/>
          <w:sz w:val="20"/>
          <w:szCs w:val="20"/>
        </w:rPr>
        <w:t>d</w:t>
      </w:r>
      <w:r w:rsidR="00D44740">
        <w:rPr>
          <w:i/>
          <w:color w:val="231F20"/>
          <w:sz w:val="20"/>
          <w:szCs w:val="20"/>
        </w:rPr>
        <w:t>e</w:t>
      </w:r>
      <w:r w:rsidRPr="007A60AB">
        <w:rPr>
          <w:i/>
          <w:color w:val="231F20"/>
          <w:sz w:val="20"/>
          <w:szCs w:val="20"/>
        </w:rPr>
        <w:t>l</w:t>
      </w:r>
      <w:r w:rsidRPr="007A60AB">
        <w:rPr>
          <w:i/>
          <w:color w:val="231F20"/>
          <w:spacing w:val="26"/>
          <w:sz w:val="20"/>
          <w:szCs w:val="20"/>
        </w:rPr>
        <w:t xml:space="preserve"> </w:t>
      </w:r>
      <w:r w:rsidRPr="007A60AB">
        <w:rPr>
          <w:i/>
          <w:color w:val="231F20"/>
          <w:spacing w:val="-1"/>
          <w:sz w:val="20"/>
          <w:szCs w:val="20"/>
        </w:rPr>
        <w:t>Rego</w:t>
      </w:r>
      <w:r w:rsidRPr="007A60AB">
        <w:rPr>
          <w:i/>
          <w:color w:val="231F20"/>
          <w:spacing w:val="25"/>
          <w:sz w:val="20"/>
          <w:szCs w:val="20"/>
        </w:rPr>
        <w:t xml:space="preserve"> </w:t>
      </w:r>
      <w:r w:rsidRPr="007A60AB">
        <w:rPr>
          <w:i/>
          <w:color w:val="231F20"/>
          <w:sz w:val="20"/>
          <w:szCs w:val="20"/>
        </w:rPr>
        <w:t>dos</w:t>
      </w:r>
      <w:r w:rsidRPr="007A60AB">
        <w:rPr>
          <w:i/>
          <w:color w:val="231F20"/>
          <w:spacing w:val="27"/>
          <w:sz w:val="20"/>
          <w:szCs w:val="20"/>
        </w:rPr>
        <w:t xml:space="preserve"> </w:t>
      </w:r>
      <w:r w:rsidRPr="007A60AB">
        <w:rPr>
          <w:i/>
          <w:color w:val="231F20"/>
          <w:spacing w:val="-1"/>
          <w:sz w:val="20"/>
          <w:szCs w:val="20"/>
        </w:rPr>
        <w:t>Arrimos,</w:t>
      </w:r>
      <w:r w:rsidRPr="007A60AB">
        <w:rPr>
          <w:i/>
          <w:color w:val="231F20"/>
          <w:spacing w:val="27"/>
          <w:sz w:val="20"/>
          <w:szCs w:val="20"/>
        </w:rPr>
        <w:t xml:space="preserve"> </w:t>
      </w:r>
      <w:r w:rsidRPr="007A60AB">
        <w:rPr>
          <w:i/>
          <w:color w:val="231F20"/>
          <w:spacing w:val="-1"/>
          <w:sz w:val="20"/>
          <w:szCs w:val="20"/>
        </w:rPr>
        <w:t>por</w:t>
      </w:r>
      <w:r w:rsidRPr="007A60AB">
        <w:rPr>
          <w:i/>
          <w:color w:val="231F20"/>
          <w:spacing w:val="26"/>
          <w:sz w:val="20"/>
          <w:szCs w:val="20"/>
        </w:rPr>
        <w:t xml:space="preserve"> </w:t>
      </w:r>
      <w:r w:rsidRPr="007A60AB">
        <w:rPr>
          <w:i/>
          <w:color w:val="231F20"/>
          <w:spacing w:val="-1"/>
          <w:sz w:val="20"/>
          <w:szCs w:val="20"/>
        </w:rPr>
        <w:t>lo</w:t>
      </w:r>
      <w:r w:rsidRPr="007A60AB">
        <w:rPr>
          <w:i/>
          <w:color w:val="231F20"/>
          <w:spacing w:val="27"/>
          <w:sz w:val="20"/>
          <w:szCs w:val="20"/>
        </w:rPr>
        <w:t xml:space="preserve"> </w:t>
      </w:r>
      <w:r w:rsidRPr="007A60AB">
        <w:rPr>
          <w:i/>
          <w:color w:val="231F20"/>
          <w:spacing w:val="-2"/>
          <w:sz w:val="20"/>
          <w:szCs w:val="20"/>
        </w:rPr>
        <w:t>que</w:t>
      </w:r>
      <w:r w:rsidRPr="007A60AB">
        <w:rPr>
          <w:i/>
          <w:color w:val="231F20"/>
          <w:spacing w:val="27"/>
          <w:sz w:val="20"/>
          <w:szCs w:val="20"/>
        </w:rPr>
        <w:t xml:space="preserve"> </w:t>
      </w:r>
      <w:r w:rsidRPr="007A60AB">
        <w:rPr>
          <w:i/>
          <w:color w:val="231F20"/>
          <w:sz w:val="20"/>
          <w:szCs w:val="20"/>
        </w:rPr>
        <w:t>no</w:t>
      </w:r>
      <w:r w:rsidRPr="007A60AB">
        <w:rPr>
          <w:i/>
          <w:color w:val="231F20"/>
          <w:spacing w:val="27"/>
          <w:sz w:val="20"/>
          <w:szCs w:val="20"/>
        </w:rPr>
        <w:t xml:space="preserve"> </w:t>
      </w:r>
      <w:r w:rsidRPr="007A60AB">
        <w:rPr>
          <w:i/>
          <w:color w:val="231F20"/>
          <w:spacing w:val="-2"/>
          <w:sz w:val="20"/>
          <w:szCs w:val="20"/>
        </w:rPr>
        <w:t>se</w:t>
      </w:r>
      <w:r w:rsidRPr="007A60AB">
        <w:rPr>
          <w:i/>
          <w:color w:val="231F20"/>
          <w:spacing w:val="27"/>
          <w:sz w:val="20"/>
          <w:szCs w:val="20"/>
        </w:rPr>
        <w:t xml:space="preserve"> </w:t>
      </w:r>
      <w:r w:rsidRPr="007A60AB">
        <w:rPr>
          <w:i/>
          <w:color w:val="231F20"/>
          <w:spacing w:val="-1"/>
          <w:sz w:val="20"/>
          <w:szCs w:val="20"/>
        </w:rPr>
        <w:t>esperan</w:t>
      </w:r>
      <w:r w:rsidR="007A60AB" w:rsidRPr="007A60AB">
        <w:rPr>
          <w:i/>
          <w:color w:val="231F20"/>
          <w:spacing w:val="-1"/>
          <w:sz w:val="20"/>
          <w:szCs w:val="20"/>
        </w:rPr>
        <w:t xml:space="preserve"> </w:t>
      </w:r>
      <w:r w:rsidRPr="007A60AB">
        <w:rPr>
          <w:i/>
          <w:color w:val="231F20"/>
          <w:spacing w:val="-1"/>
          <w:sz w:val="20"/>
          <w:szCs w:val="20"/>
        </w:rPr>
        <w:t>afecciones</w:t>
      </w:r>
      <w:r w:rsidRPr="007A60AB">
        <w:rPr>
          <w:i/>
          <w:color w:val="231F20"/>
          <w:spacing w:val="1"/>
          <w:sz w:val="20"/>
          <w:szCs w:val="20"/>
        </w:rPr>
        <w:t xml:space="preserve"> </w:t>
      </w:r>
      <w:r w:rsidRPr="007A60AB">
        <w:rPr>
          <w:i/>
          <w:color w:val="231F20"/>
          <w:spacing w:val="-1"/>
          <w:sz w:val="20"/>
          <w:szCs w:val="20"/>
        </w:rPr>
        <w:t xml:space="preserve">sobre </w:t>
      </w:r>
      <w:r w:rsidRPr="007A60AB">
        <w:rPr>
          <w:i/>
          <w:color w:val="231F20"/>
          <w:sz w:val="20"/>
          <w:szCs w:val="20"/>
        </w:rPr>
        <w:t>estas</w:t>
      </w:r>
      <w:r w:rsidRPr="007A60AB">
        <w:rPr>
          <w:i/>
          <w:color w:val="231F20"/>
          <w:spacing w:val="-2"/>
          <w:sz w:val="20"/>
          <w:szCs w:val="20"/>
        </w:rPr>
        <w:t xml:space="preserve"> </w:t>
      </w:r>
      <w:r w:rsidRPr="007A60AB">
        <w:rPr>
          <w:i/>
          <w:color w:val="231F20"/>
          <w:spacing w:val="-1"/>
          <w:sz w:val="20"/>
          <w:szCs w:val="20"/>
        </w:rPr>
        <w:t>captaciones.</w:t>
      </w:r>
    </w:p>
    <w:p w14:paraId="2BE58FDC" w14:textId="77777777" w:rsidR="001F2605" w:rsidRPr="00674279" w:rsidRDefault="001F2605" w:rsidP="00B358A4">
      <w:pPr>
        <w:autoSpaceDE w:val="0"/>
        <w:autoSpaceDN w:val="0"/>
        <w:adjustRightInd w:val="0"/>
        <w:spacing w:after="0" w:line="240" w:lineRule="auto"/>
        <w:rPr>
          <w:rFonts w:ascii="Calibri,Bold" w:hAnsi="Calibri,Bold" w:cs="Calibri,Bold"/>
          <w:b/>
          <w:bCs/>
          <w:sz w:val="24"/>
          <w:szCs w:val="24"/>
          <w:highlight w:val="yellow"/>
          <w:lang w:eastAsia="es-ES"/>
        </w:rPr>
      </w:pPr>
    </w:p>
    <w:p w14:paraId="0F392D27" w14:textId="0754B4C9" w:rsidR="00B358A4" w:rsidRDefault="00B358A4" w:rsidP="001829EF">
      <w:pPr>
        <w:pStyle w:val="Default"/>
        <w:spacing w:before="120"/>
        <w:jc w:val="both"/>
        <w:rPr>
          <w:rFonts w:asciiTheme="minorHAnsi" w:hAnsiTheme="minorHAnsi" w:cstheme="minorHAnsi"/>
          <w:color w:val="0000FF"/>
          <w:sz w:val="22"/>
          <w:szCs w:val="22"/>
          <w:shd w:val="clear" w:color="auto" w:fill="FFFFFF" w:themeFill="background1"/>
        </w:rPr>
      </w:pPr>
      <w:r w:rsidRPr="001829EF">
        <w:rPr>
          <w:rFonts w:ascii="Calibri" w:hAnsi="Calibri"/>
        </w:rPr>
        <w:t>Ainda que a promotora recoñece a afección do proxecto a ese dereito mineiro, non está avaliado no EsIA.</w:t>
      </w:r>
      <w:r w:rsidR="00EA4A33">
        <w:rPr>
          <w:rFonts w:asciiTheme="minorHAnsi" w:hAnsiTheme="minorHAnsi" w:cstheme="minorHAnsi"/>
          <w:noProof/>
          <w:color w:val="0000FF"/>
          <w:sz w:val="22"/>
          <w:szCs w:val="22"/>
          <w:shd w:val="clear" w:color="auto" w:fill="FFFFFF" w:themeFill="background1"/>
        </w:rPr>
        <w:t xml:space="preserve">   </w:t>
      </w:r>
    </w:p>
    <w:p w14:paraId="5074AA56" w14:textId="77777777" w:rsidR="00B358A4" w:rsidRDefault="00B358A4" w:rsidP="00D46D97">
      <w:pPr>
        <w:pStyle w:val="Default"/>
        <w:spacing w:before="120"/>
        <w:jc w:val="both"/>
        <w:rPr>
          <w:rFonts w:ascii="Calibri" w:hAnsi="Calibri"/>
        </w:rPr>
      </w:pPr>
    </w:p>
    <w:p w14:paraId="5A6CF918" w14:textId="77777777" w:rsidR="00B358A4" w:rsidRPr="009B1BBF" w:rsidRDefault="00B358A4" w:rsidP="00DD30C9">
      <w:pPr>
        <w:pStyle w:val="Default"/>
        <w:numPr>
          <w:ilvl w:val="0"/>
          <w:numId w:val="30"/>
        </w:numPr>
        <w:shd w:val="clear" w:color="auto" w:fill="C6D9F1"/>
        <w:spacing w:before="120"/>
        <w:ind w:left="1843" w:hanging="1843"/>
        <w:jc w:val="both"/>
        <w:outlineLvl w:val="0"/>
        <w:rPr>
          <w:rFonts w:ascii="Calibri" w:hAnsi="Calibri" w:cs="Calibri"/>
          <w:b/>
          <w:bCs/>
        </w:rPr>
      </w:pPr>
      <w:bookmarkStart w:id="66" w:name="_Toc132510963"/>
      <w:r w:rsidRPr="009B1BBF">
        <w:rPr>
          <w:rFonts w:ascii="Calibri" w:hAnsi="Calibri" w:cs="Calibri"/>
          <w:b/>
          <w:bCs/>
        </w:rPr>
        <w:t>Vulneración dos artigos 2 e 6 da Directiva 92/43/CEE relativa á Conservación de Hábitats Naturais e da Fauna e Flora Silvestres, actualizada a través da Directiva 97/62/CEE.</w:t>
      </w:r>
      <w:bookmarkEnd w:id="66"/>
    </w:p>
    <w:p w14:paraId="219CE71C" w14:textId="77777777" w:rsidR="00B358A4" w:rsidRPr="00FB1A92" w:rsidRDefault="00B358A4" w:rsidP="00FB1A92">
      <w:pPr>
        <w:spacing w:before="120" w:after="0" w:line="240" w:lineRule="auto"/>
        <w:ind w:left="708" w:right="720"/>
        <w:jc w:val="both"/>
        <w:rPr>
          <w:rFonts w:cs="Calibri"/>
          <w:i/>
          <w:sz w:val="20"/>
          <w:szCs w:val="20"/>
        </w:rPr>
      </w:pPr>
      <w:r w:rsidRPr="00FB1A92">
        <w:rPr>
          <w:rFonts w:cs="Calibri"/>
          <w:i/>
          <w:sz w:val="20"/>
          <w:szCs w:val="20"/>
        </w:rPr>
        <w:t>“Artigo 2</w:t>
      </w:r>
    </w:p>
    <w:p w14:paraId="1B5AEB66" w14:textId="77777777" w:rsidR="00B358A4" w:rsidRPr="00FB1A92" w:rsidRDefault="00B358A4" w:rsidP="00FB1A92">
      <w:pPr>
        <w:spacing w:before="120" w:after="0" w:line="240" w:lineRule="auto"/>
        <w:ind w:left="708" w:right="720"/>
        <w:jc w:val="both"/>
        <w:rPr>
          <w:rFonts w:cs="Calibri"/>
          <w:i/>
          <w:sz w:val="20"/>
          <w:szCs w:val="20"/>
        </w:rPr>
      </w:pPr>
      <w:r w:rsidRPr="00FB1A92">
        <w:rPr>
          <w:rFonts w:cs="Calibri"/>
          <w:i/>
          <w:sz w:val="20"/>
          <w:szCs w:val="20"/>
        </w:rPr>
        <w:t>1. A presente Directiva ten por obxecto contribuír a garantir a biodiversidade mediante a conservación dos hábitats naturais e da fauna e flora silvestres no territorio europeo dos Estados membros ao que se aplica o Tratado.</w:t>
      </w:r>
    </w:p>
    <w:p w14:paraId="0A0573D0" w14:textId="77777777" w:rsidR="00B358A4" w:rsidRPr="00FB1A92" w:rsidRDefault="00B358A4" w:rsidP="00FB1A92">
      <w:pPr>
        <w:spacing w:before="120" w:after="0" w:line="240" w:lineRule="auto"/>
        <w:ind w:left="708" w:right="720"/>
        <w:jc w:val="both"/>
        <w:rPr>
          <w:rFonts w:cs="Calibri"/>
          <w:i/>
          <w:sz w:val="20"/>
          <w:szCs w:val="20"/>
        </w:rPr>
      </w:pPr>
      <w:r w:rsidRPr="00FB1A92">
        <w:rPr>
          <w:rFonts w:cs="Calibri"/>
          <w:i/>
          <w:sz w:val="20"/>
          <w:szCs w:val="20"/>
        </w:rPr>
        <w:t>2. As medidas que se adopten en virtude da presente Directiva terán como finalidade o mantemento ou o restablecemento, nun estado de conservación favorable, dos hábitats naturais e das especies silvestres da fauna e da flora de interese comunitario”.</w:t>
      </w:r>
    </w:p>
    <w:p w14:paraId="0E38982E" w14:textId="77777777" w:rsidR="00B358A4" w:rsidRPr="00FB1A92" w:rsidRDefault="00B358A4" w:rsidP="00FB1A92">
      <w:pPr>
        <w:spacing w:before="120" w:after="0" w:line="240" w:lineRule="auto"/>
        <w:ind w:left="708" w:right="720"/>
        <w:jc w:val="both"/>
        <w:rPr>
          <w:rFonts w:cs="Calibri"/>
          <w:i/>
          <w:sz w:val="20"/>
          <w:szCs w:val="20"/>
        </w:rPr>
      </w:pPr>
      <w:r w:rsidRPr="00FB1A92">
        <w:rPr>
          <w:rFonts w:cs="Calibri"/>
          <w:i/>
          <w:sz w:val="20"/>
          <w:szCs w:val="20"/>
        </w:rPr>
        <w:t>“Artigo 6</w:t>
      </w:r>
    </w:p>
    <w:p w14:paraId="2C32D73B" w14:textId="77777777" w:rsidR="00B358A4" w:rsidRPr="00FB1A92" w:rsidRDefault="00B358A4" w:rsidP="00FB1A92">
      <w:pPr>
        <w:spacing w:before="120" w:after="0" w:line="240" w:lineRule="auto"/>
        <w:ind w:left="708" w:right="720"/>
        <w:jc w:val="both"/>
        <w:rPr>
          <w:rFonts w:cs="Calibri"/>
          <w:i/>
          <w:sz w:val="20"/>
          <w:szCs w:val="20"/>
        </w:rPr>
      </w:pPr>
      <w:r w:rsidRPr="00FB1A92">
        <w:rPr>
          <w:rFonts w:cs="Calibri"/>
          <w:i/>
          <w:sz w:val="20"/>
          <w:szCs w:val="20"/>
        </w:rPr>
        <w:lastRenderedPageBreak/>
        <w:t>1. Con respecto ás zonas especiais de conservación, os Estados membros fixarán as medidas de conservación necesarias que implicarán, no seu caso, adecuados plans de xestión, específicos aos lugares ou integrados noutros plans de desenvolvemento, e as apropiadas medidas regulamentarias, administrativas ou contractuais, que respondan as esixencias ecolóxicas dos tipos de hábitats naturais do Anexo I e das especies do Anexo II presentes nos lugares.</w:t>
      </w:r>
    </w:p>
    <w:p w14:paraId="3577C6F4" w14:textId="77777777" w:rsidR="00B358A4" w:rsidRPr="00FB1A92" w:rsidRDefault="00B358A4" w:rsidP="00FB1A92">
      <w:pPr>
        <w:spacing w:before="120" w:after="0" w:line="240" w:lineRule="auto"/>
        <w:ind w:left="708" w:right="720"/>
        <w:jc w:val="both"/>
        <w:rPr>
          <w:rFonts w:cs="Calibri"/>
          <w:i/>
          <w:sz w:val="20"/>
          <w:szCs w:val="20"/>
        </w:rPr>
      </w:pPr>
      <w:r w:rsidRPr="00FB1A92">
        <w:rPr>
          <w:rFonts w:cs="Calibri"/>
          <w:i/>
          <w:sz w:val="20"/>
          <w:szCs w:val="20"/>
        </w:rPr>
        <w:t>2. Os Estados membros adoptarán as medidas apropiadas para evitar, nas zonas especiais de conservación, a deterioración dos hábitats naturais e dos hábitats de especies, así como as alteracións que repercutan nas especies que motivasen a designación das zonas, na medida en que ditas alteracións poidan ter un efecto apreciable no que respecta a os obxectivos da presente Directiva.</w:t>
      </w:r>
    </w:p>
    <w:p w14:paraId="4F185448" w14:textId="77777777" w:rsidR="00B358A4" w:rsidRPr="00FB1A92" w:rsidRDefault="00B358A4" w:rsidP="00FB1A92">
      <w:pPr>
        <w:spacing w:before="120" w:after="0" w:line="240" w:lineRule="auto"/>
        <w:ind w:left="708" w:right="720"/>
        <w:jc w:val="both"/>
        <w:rPr>
          <w:rFonts w:cs="Calibri"/>
          <w:i/>
          <w:sz w:val="20"/>
          <w:szCs w:val="20"/>
        </w:rPr>
      </w:pPr>
      <w:r w:rsidRPr="00FB1A92">
        <w:rPr>
          <w:rFonts w:cs="Calibri"/>
          <w:i/>
          <w:sz w:val="20"/>
          <w:szCs w:val="20"/>
        </w:rPr>
        <w:t xml:space="preserve">3. </w:t>
      </w:r>
      <w:r w:rsidRPr="00FB1A92">
        <w:rPr>
          <w:rFonts w:cs="Calibri"/>
          <w:b/>
          <w:i/>
          <w:sz w:val="20"/>
          <w:szCs w:val="20"/>
        </w:rPr>
        <w:t>Calquera plan ou proxecto que, sen ter relación directa coa xestión do lugar ou sen ser necesario para a mesma, poida afectar de forma apreciable aos citados lugares, xa sexa individualmente ou en combinación con outros plans e proxectos, someterase a unha adecuada avaliación das súas repercusións no lugar, tendo en cuenta os obxectivos de conservación do devandito lugar</w:t>
      </w:r>
      <w:r w:rsidRPr="00FB1A92">
        <w:rPr>
          <w:rFonts w:cs="Calibri"/>
          <w:i/>
          <w:sz w:val="20"/>
          <w:szCs w:val="20"/>
        </w:rPr>
        <w:t>. Á vista das conclusións da avaliación das repercusións no lugar e supeditado ao disposto no apartado 4, as autoridades nacionais competentes só se declararán de acordo con devandito plan ou proxecto tras asegurarse de que non causará prexuízo á integridade do lugar en cuestión e, se procede, tras sometelo a información pública”.</w:t>
      </w:r>
    </w:p>
    <w:p w14:paraId="73663F98" w14:textId="708E3C40" w:rsidR="00B358A4" w:rsidRPr="00FB1A92" w:rsidRDefault="00B358A4" w:rsidP="00921FBC">
      <w:pPr>
        <w:spacing w:before="120" w:after="0" w:line="240" w:lineRule="auto"/>
        <w:ind w:left="66" w:right="720"/>
        <w:jc w:val="both"/>
        <w:rPr>
          <w:rFonts w:cs="Calibri"/>
          <w:sz w:val="24"/>
          <w:szCs w:val="24"/>
        </w:rPr>
      </w:pPr>
      <w:r w:rsidRPr="00FB1A92">
        <w:rPr>
          <w:rFonts w:cs="Calibri"/>
          <w:sz w:val="24"/>
          <w:szCs w:val="24"/>
        </w:rPr>
        <w:t>O proxecto do PE Tor</w:t>
      </w:r>
      <w:r w:rsidR="00674279">
        <w:rPr>
          <w:rFonts w:cs="Calibri"/>
          <w:sz w:val="24"/>
          <w:szCs w:val="24"/>
        </w:rPr>
        <w:t>r</w:t>
      </w:r>
      <w:r w:rsidRPr="00FB1A92">
        <w:rPr>
          <w:rFonts w:cs="Calibri"/>
          <w:sz w:val="24"/>
          <w:szCs w:val="24"/>
        </w:rPr>
        <w:t>oña</w:t>
      </w:r>
      <w:r w:rsidR="00674279">
        <w:rPr>
          <w:rFonts w:cs="Calibri"/>
          <w:sz w:val="24"/>
          <w:szCs w:val="24"/>
        </w:rPr>
        <w:t xml:space="preserve"> I</w:t>
      </w:r>
      <w:r w:rsidRPr="00FB1A92">
        <w:rPr>
          <w:rFonts w:cs="Calibri"/>
          <w:sz w:val="24"/>
          <w:szCs w:val="24"/>
        </w:rPr>
        <w:t xml:space="preserve"> vulnera os principios da Directiva 92/43/CEE en tanto afecta ás especies e hábitats de interés comunitario que se atopan na área na que se pretende desenvolver. A alteración destes hábitats e a afección a estas especies de interés comunitario será irreversible polo que resulta imposible garantir a súa conservación.</w:t>
      </w:r>
    </w:p>
    <w:p w14:paraId="59000022" w14:textId="77777777" w:rsidR="002754CC" w:rsidRPr="001C681F" w:rsidRDefault="002754CC" w:rsidP="00921FBC">
      <w:pPr>
        <w:spacing w:before="120" w:after="0" w:line="240" w:lineRule="auto"/>
        <w:ind w:left="66" w:right="720"/>
        <w:jc w:val="both"/>
        <w:rPr>
          <w:rFonts w:cs="Calibri"/>
        </w:rPr>
      </w:pPr>
    </w:p>
    <w:p w14:paraId="6679AB15" w14:textId="77777777" w:rsidR="00B358A4" w:rsidRPr="00CB5DB4" w:rsidRDefault="00B358A4" w:rsidP="00DD30C9">
      <w:pPr>
        <w:pStyle w:val="Default"/>
        <w:numPr>
          <w:ilvl w:val="0"/>
          <w:numId w:val="30"/>
        </w:numPr>
        <w:shd w:val="clear" w:color="auto" w:fill="C6D9F1"/>
        <w:spacing w:before="120"/>
        <w:ind w:left="1843" w:hanging="1777"/>
        <w:jc w:val="both"/>
        <w:outlineLvl w:val="0"/>
        <w:rPr>
          <w:rFonts w:ascii="Calibri" w:hAnsi="Calibri" w:cs="Calibri"/>
          <w:b/>
          <w:bCs/>
        </w:rPr>
      </w:pPr>
      <w:bookmarkStart w:id="67" w:name="_Hlk87742117"/>
      <w:bookmarkStart w:id="68" w:name="_Toc87980527"/>
      <w:bookmarkStart w:id="69" w:name="_Toc88004908"/>
      <w:bookmarkStart w:id="70" w:name="_Toc132510964"/>
      <w:r w:rsidRPr="00CB5DB4">
        <w:rPr>
          <w:rFonts w:ascii="Calibri" w:hAnsi="Calibri" w:cs="Calibri"/>
          <w:b/>
          <w:bCs/>
        </w:rPr>
        <w:t>Deficiente avaliación da afección a especies incluidas no Decreto 88/2007, do 19 de abril, polo que se regula o Catálogo Galego de Especies Ameazadas, Real Decreto 139/2011 para o desenvolvemento do Listado de Especies Silvestres en Réxime de Protección Especial e do Catálogo Español de Especies Ameazadas</w:t>
      </w:r>
      <w:bookmarkEnd w:id="67"/>
      <w:r w:rsidRPr="00CB5DB4">
        <w:rPr>
          <w:rFonts w:ascii="Calibri" w:hAnsi="Calibri" w:cs="Calibri"/>
          <w:b/>
          <w:bCs/>
        </w:rPr>
        <w:t>.</w:t>
      </w:r>
      <w:bookmarkEnd w:id="68"/>
      <w:bookmarkEnd w:id="69"/>
      <w:bookmarkEnd w:id="70"/>
    </w:p>
    <w:p w14:paraId="64A52E33" w14:textId="35BA5D50" w:rsidR="00B358A4" w:rsidRPr="00501ECF" w:rsidRDefault="00B358A4" w:rsidP="006B7FEF">
      <w:pPr>
        <w:spacing w:line="240" w:lineRule="auto"/>
        <w:ind w:left="66"/>
        <w:jc w:val="both"/>
        <w:rPr>
          <w:sz w:val="24"/>
          <w:szCs w:val="24"/>
        </w:rPr>
      </w:pPr>
      <w:r w:rsidRPr="00501ECF">
        <w:rPr>
          <w:sz w:val="24"/>
          <w:szCs w:val="24"/>
        </w:rPr>
        <w:t xml:space="preserve">O inventario de especies que conforman as comunidades faunísticas e florísticas na área de afección do PE </w:t>
      </w:r>
      <w:r>
        <w:rPr>
          <w:sz w:val="24"/>
          <w:szCs w:val="24"/>
        </w:rPr>
        <w:t>Tor</w:t>
      </w:r>
      <w:r w:rsidR="009A07AE">
        <w:rPr>
          <w:sz w:val="24"/>
          <w:szCs w:val="24"/>
        </w:rPr>
        <w:t>r</w:t>
      </w:r>
      <w:r>
        <w:rPr>
          <w:sz w:val="24"/>
          <w:szCs w:val="24"/>
        </w:rPr>
        <w:t>oña</w:t>
      </w:r>
      <w:r w:rsidR="009A07AE">
        <w:rPr>
          <w:sz w:val="24"/>
          <w:szCs w:val="24"/>
        </w:rPr>
        <w:t xml:space="preserve"> I</w:t>
      </w:r>
      <w:r w:rsidRPr="00501ECF">
        <w:rPr>
          <w:sz w:val="24"/>
          <w:szCs w:val="24"/>
        </w:rPr>
        <w:t xml:space="preserve"> seguíu unha </w:t>
      </w:r>
      <w:r w:rsidRPr="00501ECF">
        <w:rPr>
          <w:b/>
          <w:bCs/>
          <w:sz w:val="24"/>
          <w:szCs w:val="24"/>
        </w:rPr>
        <w:t>metodoloxía inadecuada</w:t>
      </w:r>
      <w:r w:rsidRPr="00501ECF">
        <w:rPr>
          <w:sz w:val="24"/>
          <w:szCs w:val="24"/>
        </w:rPr>
        <w:t xml:space="preserve"> tanto no que se refire á revisión bibliográfica como ós traballos de campo realizados. O resultado é un inventario que </w:t>
      </w:r>
      <w:r w:rsidRPr="00501ECF">
        <w:rPr>
          <w:b/>
          <w:bCs/>
          <w:sz w:val="24"/>
          <w:szCs w:val="24"/>
        </w:rPr>
        <w:t>infraestima significativamente o número de especies</w:t>
      </w:r>
      <w:r w:rsidRPr="00501ECF">
        <w:rPr>
          <w:sz w:val="24"/>
          <w:szCs w:val="24"/>
        </w:rPr>
        <w:t xml:space="preserve"> dunha gran variedade de táxons. Entre estas especies ausentes, un gran número delas figura no Catálogo Galego de Especies Ameazadas. No Listado de Especies Silvestres en Réxime de Protección Especial e no Catálogo Español de Especies Ameazadas.</w:t>
      </w:r>
    </w:p>
    <w:p w14:paraId="2FEA581C" w14:textId="77777777" w:rsidR="00B358A4" w:rsidRPr="00501ECF" w:rsidRDefault="00B358A4" w:rsidP="006B7FEF">
      <w:pPr>
        <w:spacing w:line="240" w:lineRule="auto"/>
        <w:ind w:left="66"/>
        <w:jc w:val="both"/>
        <w:rPr>
          <w:sz w:val="24"/>
          <w:szCs w:val="24"/>
          <w:shd w:val="clear" w:color="auto" w:fill="FFFFFF"/>
          <w:lang w:eastAsia="es-ES"/>
        </w:rPr>
      </w:pPr>
      <w:r w:rsidRPr="00501ECF">
        <w:rPr>
          <w:sz w:val="24"/>
          <w:szCs w:val="24"/>
        </w:rPr>
        <w:t>É especialmente grave a deficiente avaliación dos efectos sobre a comunidade de anfibios</w:t>
      </w:r>
      <w:r>
        <w:rPr>
          <w:sz w:val="24"/>
          <w:szCs w:val="24"/>
        </w:rPr>
        <w:t xml:space="preserve"> sobre a que o EsIA non fai ningunha mención porén en </w:t>
      </w:r>
      <w:r w:rsidRPr="00501ECF">
        <w:rPr>
          <w:sz w:val="24"/>
          <w:szCs w:val="24"/>
          <w:shd w:val="clear" w:color="auto" w:fill="FFFFFF"/>
          <w:lang w:eastAsia="es-ES"/>
        </w:rPr>
        <w:t xml:space="preserve">DIA formulada </w:t>
      </w:r>
      <w:r>
        <w:rPr>
          <w:sz w:val="24"/>
          <w:szCs w:val="24"/>
          <w:shd w:val="clear" w:color="auto" w:fill="FFFFFF"/>
          <w:lang w:eastAsia="es-ES"/>
        </w:rPr>
        <w:t xml:space="preserve">para outros proxectos similares na mesma área, </w:t>
      </w:r>
      <w:r w:rsidRPr="00501ECF">
        <w:rPr>
          <w:sz w:val="24"/>
          <w:szCs w:val="24"/>
          <w:shd w:val="clear" w:color="auto" w:fill="FFFFFF"/>
          <w:lang w:eastAsia="es-ES"/>
        </w:rPr>
        <w:t>pola Secretaría Xeral de Calidade e Avaliación Ambiental en dat</w:t>
      </w:r>
      <w:r>
        <w:rPr>
          <w:sz w:val="24"/>
          <w:szCs w:val="24"/>
          <w:shd w:val="clear" w:color="auto" w:fill="FFFFFF"/>
          <w:lang w:eastAsia="es-ES"/>
        </w:rPr>
        <w:t xml:space="preserve">a 16 de decembro de 2011, </w:t>
      </w:r>
      <w:r w:rsidRPr="00501ECF">
        <w:rPr>
          <w:sz w:val="24"/>
          <w:szCs w:val="24"/>
          <w:shd w:val="clear" w:color="auto" w:fill="FFFFFF"/>
          <w:lang w:eastAsia="es-ES"/>
        </w:rPr>
        <w:t>indícase a necesidade de considerar as especies de anfibios e réptiles que se teñen inventariado na zona e que figuran no Catálogo Galego de Especies Ameazadas.</w:t>
      </w:r>
    </w:p>
    <w:p w14:paraId="4C42EE22" w14:textId="77777777" w:rsidR="00B358A4" w:rsidRPr="00501ECF" w:rsidRDefault="00B358A4" w:rsidP="006B7FEF">
      <w:pPr>
        <w:spacing w:line="240" w:lineRule="auto"/>
        <w:ind w:left="66"/>
        <w:jc w:val="both"/>
        <w:rPr>
          <w:sz w:val="24"/>
          <w:szCs w:val="24"/>
          <w:shd w:val="clear" w:color="auto" w:fill="FFFFFF"/>
          <w:lang w:eastAsia="es-ES"/>
        </w:rPr>
      </w:pPr>
      <w:r w:rsidRPr="00501ECF">
        <w:rPr>
          <w:sz w:val="24"/>
          <w:szCs w:val="24"/>
        </w:rPr>
        <w:t xml:space="preserve">A deficiente </w:t>
      </w:r>
      <w:r w:rsidRPr="00501ECF">
        <w:rPr>
          <w:sz w:val="24"/>
          <w:szCs w:val="24"/>
          <w:shd w:val="clear" w:color="auto" w:fill="FFFFFF"/>
          <w:lang w:eastAsia="es-ES"/>
        </w:rPr>
        <w:t>avaliación</w:t>
      </w:r>
      <w:r w:rsidRPr="00501ECF">
        <w:rPr>
          <w:sz w:val="24"/>
          <w:szCs w:val="24"/>
        </w:rPr>
        <w:t xml:space="preserve"> dos efectos sobre a fauna tratarase en alegacións posteriores.</w:t>
      </w:r>
    </w:p>
    <w:p w14:paraId="3EB65E86" w14:textId="5C3E42E3" w:rsidR="00B770D3" w:rsidRDefault="00B358A4" w:rsidP="006B7FEF">
      <w:pPr>
        <w:pStyle w:val="Prrafodelista"/>
        <w:pBdr>
          <w:top w:val="single" w:sz="4" w:space="1" w:color="auto"/>
          <w:left w:val="single" w:sz="4" w:space="4" w:color="auto"/>
          <w:bottom w:val="single" w:sz="4" w:space="1" w:color="auto"/>
          <w:right w:val="single" w:sz="4" w:space="4" w:color="auto"/>
        </w:pBdr>
        <w:spacing w:before="120"/>
        <w:ind w:left="66"/>
        <w:jc w:val="both"/>
        <w:rPr>
          <w:sz w:val="24"/>
          <w:szCs w:val="24"/>
        </w:rPr>
      </w:pPr>
      <w:r w:rsidRPr="00501ECF">
        <w:rPr>
          <w:sz w:val="24"/>
          <w:szCs w:val="24"/>
        </w:rPr>
        <w:t xml:space="preserve">Non se avalía o efecto que sobre estas especies terá a </w:t>
      </w:r>
      <w:r w:rsidRPr="00501ECF">
        <w:rPr>
          <w:b/>
          <w:bCs/>
          <w:sz w:val="24"/>
          <w:szCs w:val="24"/>
        </w:rPr>
        <w:t>destrucción e alteración do seu hábitat</w:t>
      </w:r>
      <w:r w:rsidRPr="00501ECF">
        <w:rPr>
          <w:sz w:val="24"/>
          <w:szCs w:val="24"/>
        </w:rPr>
        <w:t>.</w:t>
      </w:r>
    </w:p>
    <w:p w14:paraId="131929B7" w14:textId="77777777" w:rsidR="00B770D3" w:rsidRDefault="00B770D3">
      <w:pPr>
        <w:spacing w:after="0" w:line="240" w:lineRule="auto"/>
        <w:rPr>
          <w:sz w:val="24"/>
          <w:szCs w:val="24"/>
        </w:rPr>
      </w:pPr>
    </w:p>
    <w:p w14:paraId="75552227" w14:textId="77777777" w:rsidR="00B358A4" w:rsidRPr="00CB5DB4" w:rsidRDefault="00B358A4" w:rsidP="00DD30C9">
      <w:pPr>
        <w:pStyle w:val="Default"/>
        <w:numPr>
          <w:ilvl w:val="0"/>
          <w:numId w:val="30"/>
        </w:numPr>
        <w:shd w:val="clear" w:color="auto" w:fill="C6D9F1"/>
        <w:spacing w:before="120"/>
        <w:ind w:left="1843" w:hanging="1777"/>
        <w:jc w:val="both"/>
        <w:outlineLvl w:val="0"/>
        <w:rPr>
          <w:rFonts w:ascii="Calibri" w:hAnsi="Calibri" w:cs="Calibri"/>
          <w:b/>
          <w:bCs/>
        </w:rPr>
      </w:pPr>
      <w:bookmarkStart w:id="71" w:name="_Toc87980528"/>
      <w:bookmarkStart w:id="72" w:name="_Toc88004909"/>
      <w:bookmarkStart w:id="73" w:name="_Toc132510965"/>
      <w:r w:rsidRPr="00CB5DB4">
        <w:rPr>
          <w:rFonts w:ascii="Calibri" w:hAnsi="Calibri" w:cs="Calibri"/>
          <w:b/>
          <w:bCs/>
        </w:rPr>
        <w:t>Deficiente avaliación dos efectos a espazos de Rede Natura 2000 (LIC A Ramallosa, ES01425).</w:t>
      </w:r>
      <w:bookmarkEnd w:id="71"/>
      <w:bookmarkEnd w:id="72"/>
      <w:bookmarkEnd w:id="73"/>
    </w:p>
    <w:p w14:paraId="5E0C2C73" w14:textId="7EF0268E" w:rsidR="00B358A4" w:rsidRPr="00501ECF" w:rsidRDefault="00B358A4" w:rsidP="00B770D3">
      <w:pPr>
        <w:pStyle w:val="Prrafodelista"/>
        <w:spacing w:before="120"/>
        <w:ind w:left="66"/>
        <w:jc w:val="both"/>
        <w:rPr>
          <w:sz w:val="24"/>
          <w:szCs w:val="24"/>
        </w:rPr>
      </w:pPr>
      <w:r w:rsidRPr="00501ECF">
        <w:rPr>
          <w:sz w:val="24"/>
          <w:szCs w:val="24"/>
        </w:rPr>
        <w:lastRenderedPageBreak/>
        <w:t xml:space="preserve">A Foz do río Miñor que conforma o LIC A Ramallosa (ES01425) recibe os aportes fluviais, entre outras, das cuncas hidrográficas dos ríos Groba e Belesar, cuxos tramos altos sitúanse na zona afectada polas obras do PE </w:t>
      </w:r>
      <w:r>
        <w:rPr>
          <w:sz w:val="24"/>
          <w:szCs w:val="24"/>
        </w:rPr>
        <w:t>To</w:t>
      </w:r>
      <w:r w:rsidR="009A07AE">
        <w:rPr>
          <w:sz w:val="24"/>
          <w:szCs w:val="24"/>
        </w:rPr>
        <w:t>r</w:t>
      </w:r>
      <w:r>
        <w:rPr>
          <w:sz w:val="24"/>
          <w:szCs w:val="24"/>
        </w:rPr>
        <w:t>roña</w:t>
      </w:r>
      <w:r w:rsidR="009A07AE">
        <w:rPr>
          <w:sz w:val="24"/>
          <w:szCs w:val="24"/>
        </w:rPr>
        <w:t xml:space="preserve"> I</w:t>
      </w:r>
      <w:r w:rsidRPr="00501ECF">
        <w:rPr>
          <w:sz w:val="24"/>
          <w:szCs w:val="24"/>
        </w:rPr>
        <w:t>.</w:t>
      </w:r>
    </w:p>
    <w:p w14:paraId="14122267" w14:textId="77777777" w:rsidR="00B358A4" w:rsidRPr="00501ECF" w:rsidRDefault="00B358A4" w:rsidP="00B770D3">
      <w:pPr>
        <w:pStyle w:val="Prrafodelista"/>
        <w:spacing w:before="120"/>
        <w:ind w:left="66"/>
        <w:jc w:val="both"/>
        <w:rPr>
          <w:sz w:val="24"/>
          <w:szCs w:val="24"/>
        </w:rPr>
      </w:pPr>
      <w:r w:rsidRPr="00501ECF">
        <w:rPr>
          <w:sz w:val="24"/>
          <w:szCs w:val="24"/>
        </w:rPr>
        <w:t>Tense demostrado que as obras de construcción civil como a autoestrada AG-57 conlevaron o aporte dunha gran cantidade de sedimentos que contribuíu á colmatación e alteración da estructura granulométrica da marisma do esteiro da Foz da Ramallosa.</w:t>
      </w:r>
    </w:p>
    <w:p w14:paraId="16BE8F1B" w14:textId="5E0E6B6D" w:rsidR="00B770D3" w:rsidRDefault="00B358A4" w:rsidP="00B770D3">
      <w:pPr>
        <w:pStyle w:val="Prrafodelista"/>
        <w:pBdr>
          <w:top w:val="single" w:sz="4" w:space="1" w:color="auto"/>
          <w:left w:val="single" w:sz="4" w:space="4" w:color="auto"/>
          <w:bottom w:val="single" w:sz="4" w:space="1" w:color="auto"/>
          <w:right w:val="single" w:sz="4" w:space="4" w:color="auto"/>
        </w:pBdr>
        <w:spacing w:before="120"/>
        <w:ind w:left="66"/>
        <w:jc w:val="both"/>
        <w:rPr>
          <w:sz w:val="24"/>
          <w:szCs w:val="24"/>
        </w:rPr>
      </w:pPr>
      <w:r w:rsidRPr="00501ECF">
        <w:rPr>
          <w:sz w:val="24"/>
          <w:szCs w:val="24"/>
        </w:rPr>
        <w:t>A remoción de grandes cantidades de terra e a forte pendente que caracteriza a Serra da Groba na súa vertente norte, producirá unha achega de sedimentos á Foz do Miñor que non foi convintemente avaliada.</w:t>
      </w:r>
    </w:p>
    <w:p w14:paraId="1EF11A1E" w14:textId="77777777" w:rsidR="00B770D3" w:rsidRDefault="00B770D3">
      <w:pPr>
        <w:spacing w:after="0" w:line="240" w:lineRule="auto"/>
        <w:rPr>
          <w:sz w:val="24"/>
          <w:szCs w:val="24"/>
        </w:rPr>
      </w:pPr>
    </w:p>
    <w:p w14:paraId="2784AF70" w14:textId="77777777" w:rsidR="00B358A4" w:rsidRPr="00CB5DB4" w:rsidRDefault="00B358A4" w:rsidP="00DD30C9">
      <w:pPr>
        <w:pStyle w:val="Default"/>
        <w:numPr>
          <w:ilvl w:val="0"/>
          <w:numId w:val="30"/>
        </w:numPr>
        <w:shd w:val="clear" w:color="auto" w:fill="C6D9F1"/>
        <w:spacing w:before="120"/>
        <w:ind w:left="1843" w:hanging="1777"/>
        <w:jc w:val="both"/>
        <w:outlineLvl w:val="0"/>
        <w:rPr>
          <w:rFonts w:ascii="Calibri" w:hAnsi="Calibri" w:cs="Calibri"/>
          <w:b/>
          <w:bCs/>
        </w:rPr>
      </w:pPr>
      <w:bookmarkStart w:id="74" w:name="_Toc87980529"/>
      <w:bookmarkStart w:id="75" w:name="_Toc88004910"/>
      <w:bookmarkStart w:id="76" w:name="_Toc132510966"/>
      <w:r w:rsidRPr="00CB5DB4">
        <w:rPr>
          <w:rFonts w:ascii="Calibri" w:hAnsi="Calibri" w:cs="Calibri"/>
          <w:b/>
          <w:bCs/>
        </w:rPr>
        <w:t>Vulneración da Ley 42/2007 del patrimonio Natural y de la Biodiversidad.</w:t>
      </w:r>
      <w:bookmarkEnd w:id="74"/>
      <w:bookmarkEnd w:id="75"/>
      <w:bookmarkEnd w:id="76"/>
    </w:p>
    <w:p w14:paraId="126740E1" w14:textId="77777777" w:rsidR="00DD1620" w:rsidRDefault="00B358A4" w:rsidP="00B770D3">
      <w:pPr>
        <w:pStyle w:val="Textosinformato"/>
        <w:spacing w:before="120"/>
        <w:ind w:left="66"/>
        <w:jc w:val="both"/>
        <w:rPr>
          <w:rFonts w:ascii="Calibri" w:hAnsi="Calibri" w:cs="Calibri"/>
          <w:sz w:val="24"/>
          <w:szCs w:val="24"/>
        </w:rPr>
      </w:pPr>
      <w:r w:rsidRPr="00501ECF">
        <w:rPr>
          <w:rFonts w:ascii="Calibri" w:hAnsi="Calibri" w:cs="Calibri"/>
          <w:sz w:val="24"/>
          <w:szCs w:val="24"/>
        </w:rPr>
        <w:t xml:space="preserve">A </w:t>
      </w:r>
      <w:r w:rsidRPr="00FB1A92">
        <w:rPr>
          <w:rFonts w:ascii="Calibri" w:hAnsi="Calibri" w:cs="Calibri"/>
          <w:i/>
          <w:sz w:val="24"/>
          <w:szCs w:val="24"/>
        </w:rPr>
        <w:t>Ley 42/2007 del Patrimonio Natural y de la Biodiversidad</w:t>
      </w:r>
      <w:r w:rsidRPr="00501ECF">
        <w:rPr>
          <w:rFonts w:ascii="Calibri" w:hAnsi="Calibri" w:cs="Calibri"/>
          <w:sz w:val="24"/>
          <w:szCs w:val="24"/>
        </w:rPr>
        <w:t xml:space="preserve"> outórgalle unha grande importancia aos corredores ecolóxicos, espazos que: </w:t>
      </w:r>
    </w:p>
    <w:p w14:paraId="7D633B42" w14:textId="1E30A6F2" w:rsidR="00DD1620" w:rsidRPr="00DD1620" w:rsidRDefault="00B358A4" w:rsidP="00DD1620">
      <w:pPr>
        <w:pStyle w:val="Textosinformato"/>
        <w:spacing w:before="120"/>
        <w:ind w:left="708"/>
        <w:jc w:val="both"/>
        <w:rPr>
          <w:rFonts w:ascii="Calibri" w:hAnsi="Calibri" w:cs="Calibri"/>
          <w:sz w:val="22"/>
          <w:szCs w:val="22"/>
        </w:rPr>
      </w:pPr>
      <w:r w:rsidRPr="00DD1620">
        <w:rPr>
          <w:rFonts w:ascii="Calibri" w:hAnsi="Calibri" w:cs="Calibri"/>
          <w:sz w:val="22"/>
          <w:szCs w:val="22"/>
        </w:rPr>
        <w:t>“</w:t>
      </w:r>
      <w:r w:rsidRPr="00DD1620">
        <w:rPr>
          <w:rFonts w:ascii="Calibri" w:hAnsi="Calibri" w:cs="Calibri"/>
          <w:i/>
          <w:iCs/>
          <w:sz w:val="22"/>
          <w:szCs w:val="22"/>
        </w:rPr>
        <w:t>debido á súa disposición e ao seu estado de conservación, conectan funcionalmente espazos naturais de singular relevancia para a flora ou a fauna silvestres, separados entre sí, permitindo, entre outros procesos ecolóxicos, o intercambio xenético entre poboacións de especies silvestres ou a migración de especímenes desas especies</w:t>
      </w:r>
      <w:r w:rsidRPr="00DD1620">
        <w:rPr>
          <w:rFonts w:ascii="Calibri" w:hAnsi="Calibri" w:cs="Calibri"/>
          <w:sz w:val="22"/>
          <w:szCs w:val="22"/>
        </w:rPr>
        <w:t>” (artigo 3 da Lei 42/2007). Nomeadamente, “</w:t>
      </w:r>
      <w:r w:rsidRPr="00DD1620">
        <w:rPr>
          <w:rFonts w:ascii="Calibri" w:hAnsi="Calibri" w:cs="Calibri"/>
          <w:i/>
          <w:iCs/>
          <w:sz w:val="22"/>
          <w:szCs w:val="22"/>
        </w:rPr>
        <w:t>incorporaranse á planificación ambiental ou aos Plans de Ordenación dos Recursos Naturais, os corredores ecolóxicos, outorgando un papel prioritario ás vías pecuarias e as áreas de montaña</w:t>
      </w:r>
      <w:r w:rsidRPr="00DD1620">
        <w:rPr>
          <w:rFonts w:ascii="Calibri" w:hAnsi="Calibri" w:cs="Calibri"/>
          <w:sz w:val="22"/>
          <w:szCs w:val="22"/>
        </w:rPr>
        <w:t xml:space="preserve">”. </w:t>
      </w:r>
    </w:p>
    <w:p w14:paraId="693AB01D" w14:textId="77777777" w:rsidR="00DD1620" w:rsidRDefault="00B358A4" w:rsidP="00B770D3">
      <w:pPr>
        <w:pStyle w:val="Textosinformato"/>
        <w:spacing w:before="120"/>
        <w:ind w:left="66"/>
        <w:jc w:val="both"/>
        <w:rPr>
          <w:rFonts w:ascii="Calibri" w:hAnsi="Calibri" w:cs="Calibri"/>
          <w:sz w:val="24"/>
          <w:szCs w:val="24"/>
        </w:rPr>
      </w:pPr>
      <w:r w:rsidRPr="00501ECF">
        <w:rPr>
          <w:rFonts w:ascii="Calibri" w:hAnsi="Calibri" w:cs="Calibri"/>
          <w:sz w:val="24"/>
          <w:szCs w:val="24"/>
        </w:rPr>
        <w:t xml:space="preserve">A mesma lei define estas áreas de montaña como: </w:t>
      </w:r>
    </w:p>
    <w:p w14:paraId="284B311C" w14:textId="0B834392" w:rsidR="00B358A4" w:rsidRPr="00DD1620" w:rsidRDefault="00B358A4" w:rsidP="00DD1620">
      <w:pPr>
        <w:pStyle w:val="Textosinformato"/>
        <w:spacing w:before="120"/>
        <w:ind w:left="708"/>
        <w:jc w:val="both"/>
        <w:rPr>
          <w:rFonts w:ascii="Calibri" w:hAnsi="Calibri" w:cs="Calibri"/>
          <w:sz w:val="22"/>
          <w:szCs w:val="22"/>
        </w:rPr>
      </w:pPr>
      <w:r w:rsidRPr="00DD1620">
        <w:rPr>
          <w:rFonts w:ascii="Calibri" w:hAnsi="Calibri" w:cs="Calibri"/>
          <w:sz w:val="22"/>
          <w:szCs w:val="22"/>
        </w:rPr>
        <w:t>“</w:t>
      </w:r>
      <w:r w:rsidRPr="00DD1620">
        <w:rPr>
          <w:rFonts w:ascii="Calibri" w:hAnsi="Calibri" w:cs="Calibri"/>
          <w:i/>
          <w:iCs/>
          <w:sz w:val="22"/>
          <w:szCs w:val="22"/>
        </w:rPr>
        <w:t>territorios continuos e extensos, con altimetría elevada e sostida respecto aos territorios circundantes, cuxas características físicas causan a aparición de gradientes ecolóxicos que condicionan a organización dos ecosistemas e afectan aos seres vivos e ás sociedades humanas que nelas se desenvolven</w:t>
      </w:r>
      <w:r w:rsidRPr="00DD1620">
        <w:rPr>
          <w:rFonts w:ascii="Calibri" w:hAnsi="Calibri" w:cs="Calibri"/>
          <w:sz w:val="22"/>
          <w:szCs w:val="22"/>
        </w:rPr>
        <w:t>”.</w:t>
      </w:r>
    </w:p>
    <w:p w14:paraId="67A7B558" w14:textId="77777777" w:rsidR="00B358A4" w:rsidRPr="00501ECF" w:rsidRDefault="00B358A4" w:rsidP="00B770D3">
      <w:pPr>
        <w:pStyle w:val="Textosinformato"/>
        <w:spacing w:before="120"/>
        <w:ind w:left="66"/>
        <w:jc w:val="both"/>
        <w:rPr>
          <w:rFonts w:ascii="Calibri" w:hAnsi="Calibri" w:cs="Calibri"/>
          <w:sz w:val="24"/>
          <w:szCs w:val="24"/>
        </w:rPr>
      </w:pPr>
      <w:r w:rsidRPr="00501ECF">
        <w:rPr>
          <w:rFonts w:ascii="Calibri" w:hAnsi="Calibri" w:cs="Calibri"/>
          <w:sz w:val="24"/>
          <w:szCs w:val="24"/>
        </w:rPr>
        <w:t xml:space="preserve">A consideración de corredor ecolóxico é completamente acaída á serra da Groba. Temos que engadir ademais que este espazo montañoso serve de corredor natural a un grande número de especies vexetais e de vertebrados, particularmente herpetos, mamíferos. Cabe destacar especialmente a importante función desta serra como corredor da ornitofauna. Un grande número de aves terrestres utilizan a serra nos seus desprazamentos migratorios pre e postnupciais: </w:t>
      </w:r>
      <w:r w:rsidRPr="00501ECF">
        <w:rPr>
          <w:rFonts w:ascii="Calibri" w:hAnsi="Calibri" w:cs="Calibri"/>
          <w:i/>
          <w:iCs/>
          <w:sz w:val="24"/>
          <w:szCs w:val="24"/>
        </w:rPr>
        <w:t>Oenanthe oenanthe</w:t>
      </w:r>
      <w:r w:rsidRPr="00501ECF">
        <w:rPr>
          <w:rFonts w:ascii="Calibri" w:hAnsi="Calibri" w:cs="Calibri"/>
          <w:sz w:val="24"/>
          <w:szCs w:val="24"/>
        </w:rPr>
        <w:t xml:space="preserve">, </w:t>
      </w:r>
      <w:r w:rsidRPr="00501ECF">
        <w:rPr>
          <w:rFonts w:ascii="Calibri" w:hAnsi="Calibri" w:cs="Calibri"/>
          <w:i/>
          <w:iCs/>
          <w:sz w:val="24"/>
          <w:szCs w:val="24"/>
        </w:rPr>
        <w:t>Turdus pilaris</w:t>
      </w:r>
      <w:r w:rsidRPr="00501ECF">
        <w:rPr>
          <w:rFonts w:ascii="Calibri" w:hAnsi="Calibri" w:cs="Calibri"/>
          <w:sz w:val="24"/>
          <w:szCs w:val="24"/>
        </w:rPr>
        <w:t xml:space="preserve">, </w:t>
      </w:r>
      <w:r w:rsidRPr="00501ECF">
        <w:rPr>
          <w:rFonts w:ascii="Calibri" w:hAnsi="Calibri" w:cs="Calibri"/>
          <w:i/>
          <w:iCs/>
          <w:sz w:val="24"/>
          <w:szCs w:val="24"/>
        </w:rPr>
        <w:t>Motacilla flava</w:t>
      </w:r>
      <w:r w:rsidRPr="00501ECF">
        <w:rPr>
          <w:rFonts w:ascii="Calibri" w:hAnsi="Calibri" w:cs="Calibri"/>
          <w:sz w:val="24"/>
          <w:szCs w:val="24"/>
        </w:rPr>
        <w:t xml:space="preserve">, </w:t>
      </w:r>
      <w:r w:rsidRPr="00501ECF">
        <w:rPr>
          <w:rFonts w:ascii="Calibri" w:hAnsi="Calibri" w:cs="Calibri"/>
          <w:i/>
          <w:iCs/>
          <w:sz w:val="24"/>
          <w:szCs w:val="24"/>
        </w:rPr>
        <w:t>Ficedula hypoleuca</w:t>
      </w:r>
      <w:r w:rsidRPr="00501ECF">
        <w:rPr>
          <w:rFonts w:ascii="Calibri" w:hAnsi="Calibri" w:cs="Calibri"/>
          <w:sz w:val="24"/>
          <w:szCs w:val="24"/>
        </w:rPr>
        <w:t xml:space="preserve">, </w:t>
      </w:r>
      <w:r w:rsidRPr="00501ECF">
        <w:rPr>
          <w:rFonts w:ascii="Calibri" w:hAnsi="Calibri" w:cs="Calibri"/>
          <w:i/>
          <w:iCs/>
          <w:sz w:val="24"/>
          <w:szCs w:val="24"/>
        </w:rPr>
        <w:t>Muscicapa striata</w:t>
      </w:r>
      <w:r w:rsidRPr="00501ECF">
        <w:rPr>
          <w:rFonts w:ascii="Calibri" w:hAnsi="Calibri" w:cs="Calibri"/>
          <w:sz w:val="24"/>
          <w:szCs w:val="24"/>
        </w:rPr>
        <w:t xml:space="preserve">, </w:t>
      </w:r>
      <w:r w:rsidRPr="00501ECF">
        <w:rPr>
          <w:rFonts w:ascii="Calibri" w:hAnsi="Calibri" w:cs="Calibri"/>
          <w:i/>
          <w:iCs/>
          <w:sz w:val="24"/>
          <w:szCs w:val="24"/>
        </w:rPr>
        <w:t>Saxicola rubetra</w:t>
      </w:r>
      <w:r w:rsidRPr="00501ECF">
        <w:rPr>
          <w:rFonts w:ascii="Calibri" w:hAnsi="Calibri" w:cs="Calibri"/>
          <w:sz w:val="24"/>
          <w:szCs w:val="24"/>
        </w:rPr>
        <w:t xml:space="preserve">, </w:t>
      </w:r>
      <w:r w:rsidRPr="00501ECF">
        <w:rPr>
          <w:rFonts w:ascii="Calibri" w:hAnsi="Calibri" w:cs="Calibri"/>
          <w:i/>
          <w:iCs/>
          <w:sz w:val="24"/>
          <w:szCs w:val="24"/>
        </w:rPr>
        <w:t>Upupa epops</w:t>
      </w:r>
      <w:r w:rsidRPr="00501ECF">
        <w:rPr>
          <w:rFonts w:ascii="Calibri" w:hAnsi="Calibri" w:cs="Calibri"/>
          <w:sz w:val="24"/>
          <w:szCs w:val="24"/>
        </w:rPr>
        <w:t xml:space="preserve">, </w:t>
      </w:r>
      <w:r w:rsidRPr="00501ECF">
        <w:rPr>
          <w:rFonts w:ascii="Calibri" w:hAnsi="Calibri" w:cs="Calibri"/>
          <w:i/>
          <w:iCs/>
          <w:sz w:val="24"/>
          <w:szCs w:val="24"/>
        </w:rPr>
        <w:t>Jynx torquilla</w:t>
      </w:r>
      <w:r w:rsidRPr="00501ECF">
        <w:rPr>
          <w:rFonts w:ascii="Calibri" w:hAnsi="Calibri" w:cs="Calibri"/>
          <w:sz w:val="24"/>
          <w:szCs w:val="24"/>
        </w:rPr>
        <w:t xml:space="preserve">, </w:t>
      </w:r>
      <w:r w:rsidRPr="00501ECF">
        <w:rPr>
          <w:rFonts w:ascii="Calibri" w:hAnsi="Calibri" w:cs="Calibri"/>
          <w:i/>
          <w:iCs/>
          <w:sz w:val="24"/>
          <w:szCs w:val="24"/>
        </w:rPr>
        <w:t>Anthus trivialis</w:t>
      </w:r>
      <w:r w:rsidRPr="00501ECF">
        <w:rPr>
          <w:rFonts w:ascii="Calibri" w:hAnsi="Calibri" w:cs="Calibri"/>
          <w:sz w:val="24"/>
          <w:szCs w:val="24"/>
        </w:rPr>
        <w:t xml:space="preserve">, </w:t>
      </w:r>
      <w:r w:rsidRPr="00501ECF">
        <w:rPr>
          <w:rFonts w:ascii="Calibri" w:hAnsi="Calibri" w:cs="Calibri"/>
          <w:i/>
          <w:iCs/>
          <w:sz w:val="24"/>
          <w:szCs w:val="24"/>
        </w:rPr>
        <w:t>Cuculus canorus</w:t>
      </w:r>
      <w:r w:rsidRPr="00501ECF">
        <w:rPr>
          <w:rFonts w:ascii="Calibri" w:hAnsi="Calibri" w:cs="Calibri"/>
          <w:sz w:val="24"/>
          <w:szCs w:val="24"/>
        </w:rPr>
        <w:t>, etc. A estas especies temos que sumarlles diversas rapaces, que utilizan da mesma maneira a serra da Groba como corredor nos seus desprazamentos migratorios, especies estas que están incluídas no Anexo I da Directiva 2009/147/CE do Parlamento Europeo e do Consello.  </w:t>
      </w:r>
    </w:p>
    <w:p w14:paraId="27E4D753" w14:textId="5D5F382F" w:rsidR="00B358A4" w:rsidRPr="00501ECF" w:rsidRDefault="00B358A4" w:rsidP="00B770D3">
      <w:pPr>
        <w:pStyle w:val="Textosinformato"/>
        <w:spacing w:before="120"/>
        <w:ind w:left="66"/>
        <w:jc w:val="both"/>
        <w:rPr>
          <w:rFonts w:ascii="Calibri" w:hAnsi="Calibri" w:cs="Calibri"/>
          <w:sz w:val="24"/>
          <w:szCs w:val="24"/>
        </w:rPr>
      </w:pPr>
      <w:r w:rsidRPr="00501ECF">
        <w:rPr>
          <w:rFonts w:ascii="Calibri" w:hAnsi="Calibri" w:cs="Calibri"/>
          <w:sz w:val="24"/>
          <w:szCs w:val="24"/>
        </w:rPr>
        <w:t xml:space="preserve">Dentro do grupo das aves acuáticas, cabe resaltar que a serra da Groba localízase entre dous espazos protexidos de grande importancia para este grupo faunístico, como son o Esteiro do Miño (zona LIC e ZEPA) e a lagoa litoral da Ramallosa (zona LIC). De feito, nos hábitats húmidos da serra é posible observar diversas especies acuáticas como invernantes ou durante os pasos migratorios, como </w:t>
      </w:r>
      <w:r w:rsidRPr="00501ECF">
        <w:rPr>
          <w:rFonts w:ascii="Calibri" w:hAnsi="Calibri" w:cs="Calibri"/>
          <w:i/>
          <w:iCs/>
          <w:sz w:val="24"/>
          <w:szCs w:val="24"/>
        </w:rPr>
        <w:t>Gallinago gallinago</w:t>
      </w:r>
      <w:r w:rsidRPr="00501ECF">
        <w:rPr>
          <w:rFonts w:ascii="Calibri" w:hAnsi="Calibri" w:cs="Calibri"/>
          <w:sz w:val="24"/>
          <w:szCs w:val="24"/>
        </w:rPr>
        <w:t xml:space="preserve">, </w:t>
      </w:r>
      <w:r w:rsidRPr="00501ECF">
        <w:rPr>
          <w:rFonts w:ascii="Calibri" w:hAnsi="Calibri" w:cs="Calibri"/>
          <w:i/>
          <w:iCs/>
          <w:sz w:val="24"/>
          <w:szCs w:val="24"/>
        </w:rPr>
        <w:t>Lymnocryptes minimus</w:t>
      </w:r>
      <w:r w:rsidRPr="00501ECF">
        <w:rPr>
          <w:rFonts w:ascii="Calibri" w:hAnsi="Calibri" w:cs="Calibri"/>
          <w:sz w:val="24"/>
          <w:szCs w:val="24"/>
        </w:rPr>
        <w:t xml:space="preserve">, </w:t>
      </w:r>
      <w:r w:rsidRPr="00501ECF">
        <w:rPr>
          <w:rFonts w:ascii="Calibri" w:hAnsi="Calibri" w:cs="Calibri"/>
          <w:i/>
          <w:iCs/>
          <w:sz w:val="24"/>
          <w:szCs w:val="24"/>
        </w:rPr>
        <w:t>Vanellus vanellus</w:t>
      </w:r>
      <w:r w:rsidRPr="00501ECF">
        <w:rPr>
          <w:rFonts w:ascii="Calibri" w:hAnsi="Calibri" w:cs="Calibri"/>
          <w:sz w:val="24"/>
          <w:szCs w:val="24"/>
        </w:rPr>
        <w:t xml:space="preserve">, </w:t>
      </w:r>
      <w:r w:rsidRPr="00501ECF">
        <w:rPr>
          <w:rFonts w:ascii="Calibri" w:hAnsi="Calibri" w:cs="Calibri"/>
          <w:i/>
          <w:iCs/>
          <w:sz w:val="24"/>
          <w:szCs w:val="24"/>
        </w:rPr>
        <w:t>Pluvialis apricaria</w:t>
      </w:r>
      <w:r w:rsidRPr="00501ECF">
        <w:rPr>
          <w:rFonts w:ascii="Calibri" w:hAnsi="Calibri" w:cs="Calibri"/>
          <w:sz w:val="24"/>
          <w:szCs w:val="24"/>
        </w:rPr>
        <w:t xml:space="preserve"> e </w:t>
      </w:r>
      <w:r w:rsidRPr="00501ECF">
        <w:rPr>
          <w:rFonts w:ascii="Calibri" w:hAnsi="Calibri" w:cs="Calibri"/>
          <w:i/>
          <w:iCs/>
          <w:sz w:val="24"/>
          <w:szCs w:val="24"/>
        </w:rPr>
        <w:t>Tringa nebularia</w:t>
      </w:r>
      <w:r w:rsidRPr="00501ECF">
        <w:rPr>
          <w:rFonts w:ascii="Calibri" w:hAnsi="Calibri" w:cs="Calibri"/>
          <w:sz w:val="24"/>
          <w:szCs w:val="24"/>
        </w:rPr>
        <w:t xml:space="preserve">. Algunha destas especies é de particular interese pola súa rareza, como é o caso de </w:t>
      </w:r>
      <w:r w:rsidRPr="00501ECF">
        <w:rPr>
          <w:rFonts w:ascii="Calibri" w:hAnsi="Calibri" w:cs="Calibri"/>
          <w:i/>
          <w:iCs/>
          <w:sz w:val="24"/>
          <w:szCs w:val="24"/>
        </w:rPr>
        <w:t>Charadrius morinellus</w:t>
      </w:r>
      <w:r w:rsidRPr="00501ECF">
        <w:rPr>
          <w:rFonts w:ascii="Calibri" w:hAnsi="Calibri" w:cs="Calibri"/>
          <w:sz w:val="24"/>
          <w:szCs w:val="24"/>
        </w:rPr>
        <w:t xml:space="preserve">. </w:t>
      </w:r>
      <w:r w:rsidR="00DD1620">
        <w:rPr>
          <w:rFonts w:ascii="Calibri" w:hAnsi="Calibri" w:cs="Calibri"/>
          <w:sz w:val="24"/>
          <w:szCs w:val="24"/>
        </w:rPr>
        <w:t>En canto</w:t>
      </w:r>
      <w:r w:rsidRPr="00501ECF">
        <w:rPr>
          <w:rFonts w:ascii="Calibri" w:hAnsi="Calibri" w:cs="Calibri"/>
          <w:sz w:val="24"/>
          <w:szCs w:val="24"/>
        </w:rPr>
        <w:t xml:space="preserve"> os efectos sobre a avifauna inclúese máis adiante unha alegación.</w:t>
      </w:r>
    </w:p>
    <w:p w14:paraId="4B90709F" w14:textId="77777777" w:rsidR="000C07B3" w:rsidRDefault="00B358A4" w:rsidP="000C07B3">
      <w:pPr>
        <w:pStyle w:val="Textosinformato"/>
        <w:spacing w:before="120"/>
        <w:ind w:left="66"/>
        <w:jc w:val="both"/>
        <w:rPr>
          <w:rFonts w:ascii="Calibri" w:hAnsi="Calibri" w:cs="Calibri"/>
          <w:sz w:val="24"/>
          <w:szCs w:val="24"/>
        </w:rPr>
      </w:pPr>
      <w:r w:rsidRPr="00501ECF">
        <w:rPr>
          <w:rFonts w:ascii="Calibri" w:hAnsi="Calibri" w:cs="Calibri"/>
          <w:sz w:val="24"/>
          <w:szCs w:val="24"/>
        </w:rPr>
        <w:t xml:space="preserve">Volvendo á </w:t>
      </w:r>
      <w:r w:rsidRPr="000C07B3">
        <w:rPr>
          <w:rFonts w:ascii="Calibri" w:hAnsi="Calibri" w:cs="Calibri"/>
          <w:i/>
          <w:sz w:val="24"/>
          <w:szCs w:val="24"/>
        </w:rPr>
        <w:t>Ley 42/2007 del Patrimonio Natural y de la Biodiversidad</w:t>
      </w:r>
      <w:r w:rsidRPr="00501ECF">
        <w:rPr>
          <w:rFonts w:ascii="Calibri" w:hAnsi="Calibri" w:cs="Calibri"/>
          <w:sz w:val="24"/>
          <w:szCs w:val="24"/>
        </w:rPr>
        <w:t xml:space="preserve">, a mesma lei sinala que: </w:t>
      </w:r>
    </w:p>
    <w:p w14:paraId="11254347" w14:textId="7F3D683D" w:rsidR="00B358A4" w:rsidRPr="00501ECF" w:rsidRDefault="00B358A4" w:rsidP="000C07B3">
      <w:pPr>
        <w:pStyle w:val="Textosinformato"/>
        <w:spacing w:before="120"/>
        <w:ind w:left="708"/>
        <w:jc w:val="both"/>
        <w:rPr>
          <w:rFonts w:ascii="Calibri" w:hAnsi="Calibri" w:cs="Calibri"/>
          <w:sz w:val="24"/>
          <w:szCs w:val="24"/>
        </w:rPr>
      </w:pPr>
      <w:r w:rsidRPr="000C07B3">
        <w:rPr>
          <w:rFonts w:ascii="Calibri" w:hAnsi="Calibri" w:cs="Calibri"/>
          <w:sz w:val="22"/>
          <w:szCs w:val="22"/>
        </w:rPr>
        <w:t>“</w:t>
      </w:r>
      <w:r w:rsidRPr="000C07B3">
        <w:rPr>
          <w:rFonts w:ascii="Calibri" w:hAnsi="Calibri" w:cs="Calibri"/>
          <w:i/>
          <w:iCs/>
          <w:sz w:val="22"/>
          <w:szCs w:val="22"/>
        </w:rPr>
        <w:t xml:space="preserve">estes corredores deben participar no establecemento da rede europea e comunitaria de corredores biolóxicos definidos pola Estratexia Paneuropea de Diversidade Ecolóxica e Paisaxística e pola </w:t>
      </w:r>
      <w:r w:rsidRPr="000C07B3">
        <w:rPr>
          <w:rFonts w:ascii="Calibri" w:hAnsi="Calibri" w:cs="Calibri"/>
          <w:i/>
          <w:iCs/>
          <w:sz w:val="22"/>
          <w:szCs w:val="22"/>
        </w:rPr>
        <w:lastRenderedPageBreak/>
        <w:t>propia Estratexia Territorial Europea. En particular, as Comunidades Autónomas poderán utilizar estes corredores ecolóxicos, ou a definición de áreas de montaña, co fin de mellorar a coherencia ecolóxica, e a conectividade da Rede Natura 2000</w:t>
      </w:r>
      <w:r w:rsidRPr="000C07B3">
        <w:rPr>
          <w:rFonts w:ascii="Calibri" w:hAnsi="Calibri" w:cs="Calibri"/>
          <w:sz w:val="22"/>
          <w:szCs w:val="22"/>
        </w:rPr>
        <w:t>”.</w:t>
      </w:r>
    </w:p>
    <w:p w14:paraId="5D92B024" w14:textId="77777777" w:rsidR="00B358A4" w:rsidRPr="00501ECF" w:rsidRDefault="00B358A4" w:rsidP="00B770D3">
      <w:pPr>
        <w:pStyle w:val="Textosinformato"/>
        <w:spacing w:before="120"/>
        <w:ind w:left="66"/>
        <w:jc w:val="both"/>
        <w:rPr>
          <w:rFonts w:ascii="Calibri" w:hAnsi="Calibri" w:cs="Calibri"/>
          <w:b/>
          <w:sz w:val="24"/>
          <w:szCs w:val="24"/>
        </w:rPr>
      </w:pPr>
      <w:r w:rsidRPr="00501ECF">
        <w:rPr>
          <w:rFonts w:ascii="Calibri" w:hAnsi="Calibri" w:cs="Calibri"/>
          <w:sz w:val="24"/>
          <w:szCs w:val="24"/>
        </w:rPr>
        <w:t xml:space="preserve">Este carácter de corredor natural quedará severamente alterado pola instalación dos 6 parques eólicos proxectados cuxa afección será </w:t>
      </w:r>
      <w:r w:rsidRPr="00501ECF">
        <w:rPr>
          <w:rFonts w:ascii="Calibri" w:hAnsi="Calibri" w:cs="Calibri"/>
          <w:b/>
          <w:bCs/>
          <w:sz w:val="24"/>
          <w:szCs w:val="24"/>
        </w:rPr>
        <w:t>MOI SEVERA</w:t>
      </w:r>
      <w:r w:rsidRPr="00501ECF">
        <w:rPr>
          <w:rFonts w:ascii="Calibri" w:hAnsi="Calibri" w:cs="Calibri"/>
          <w:sz w:val="24"/>
          <w:szCs w:val="24"/>
        </w:rPr>
        <w:t>.</w:t>
      </w:r>
    </w:p>
    <w:p w14:paraId="5F7C3B81" w14:textId="4CA6B45B" w:rsidR="00B770D3" w:rsidRDefault="00B358A4" w:rsidP="00B770D3">
      <w:pPr>
        <w:pStyle w:val="Prrafodelista"/>
        <w:pBdr>
          <w:top w:val="single" w:sz="4" w:space="1" w:color="auto"/>
          <w:left w:val="single" w:sz="4" w:space="4" w:color="auto"/>
          <w:bottom w:val="single" w:sz="4" w:space="1" w:color="auto"/>
          <w:right w:val="single" w:sz="4" w:space="4" w:color="auto"/>
        </w:pBdr>
        <w:spacing w:before="120"/>
        <w:ind w:left="66"/>
        <w:jc w:val="both"/>
        <w:rPr>
          <w:sz w:val="24"/>
          <w:szCs w:val="24"/>
        </w:rPr>
      </w:pPr>
      <w:r w:rsidRPr="00501ECF">
        <w:rPr>
          <w:sz w:val="24"/>
          <w:szCs w:val="24"/>
        </w:rPr>
        <w:t>A inadecuada metodoloxía aplicada no Estudo de Impacto Ambiental para a caracteriza</w:t>
      </w:r>
      <w:r w:rsidR="009A07AE">
        <w:rPr>
          <w:sz w:val="24"/>
          <w:szCs w:val="24"/>
        </w:rPr>
        <w:t>ción da comunidade de seres viv</w:t>
      </w:r>
      <w:r w:rsidRPr="00501ECF">
        <w:rPr>
          <w:sz w:val="24"/>
          <w:szCs w:val="24"/>
        </w:rPr>
        <w:t xml:space="preserve">os da área afectada polo PE </w:t>
      </w:r>
      <w:r>
        <w:rPr>
          <w:sz w:val="24"/>
          <w:szCs w:val="24"/>
        </w:rPr>
        <w:t>Tor</w:t>
      </w:r>
      <w:r w:rsidR="009A07AE">
        <w:rPr>
          <w:sz w:val="24"/>
          <w:szCs w:val="24"/>
        </w:rPr>
        <w:t>r</w:t>
      </w:r>
      <w:r>
        <w:rPr>
          <w:sz w:val="24"/>
          <w:szCs w:val="24"/>
        </w:rPr>
        <w:t>oña</w:t>
      </w:r>
      <w:r w:rsidR="009A07AE">
        <w:rPr>
          <w:sz w:val="24"/>
          <w:szCs w:val="24"/>
        </w:rPr>
        <w:t xml:space="preserve"> I</w:t>
      </w:r>
      <w:r w:rsidRPr="00501ECF">
        <w:rPr>
          <w:sz w:val="24"/>
          <w:szCs w:val="24"/>
        </w:rPr>
        <w:t xml:space="preserve"> non permite aval</w:t>
      </w:r>
      <w:r w:rsidR="003B3215">
        <w:rPr>
          <w:sz w:val="24"/>
          <w:szCs w:val="24"/>
        </w:rPr>
        <w:t>i</w:t>
      </w:r>
      <w:r w:rsidRPr="00501ECF">
        <w:rPr>
          <w:sz w:val="24"/>
          <w:szCs w:val="24"/>
        </w:rPr>
        <w:t xml:space="preserve">ar os efectos sobre a enorme diversidade de especies migratorias que empregan a Serra da Groba como </w:t>
      </w:r>
      <w:r w:rsidRPr="00501ECF">
        <w:rPr>
          <w:b/>
          <w:bCs/>
          <w:sz w:val="24"/>
          <w:szCs w:val="24"/>
        </w:rPr>
        <w:t>corredor ecolóxico</w:t>
      </w:r>
      <w:r w:rsidRPr="00501ECF">
        <w:rPr>
          <w:sz w:val="24"/>
          <w:szCs w:val="24"/>
        </w:rPr>
        <w:t xml:space="preserve"> nas súas rutas migratorias e como </w:t>
      </w:r>
      <w:r w:rsidRPr="00501ECF">
        <w:rPr>
          <w:b/>
          <w:bCs/>
          <w:sz w:val="24"/>
          <w:szCs w:val="24"/>
        </w:rPr>
        <w:t>zona de descanso</w:t>
      </w:r>
      <w:r w:rsidRPr="00501ECF">
        <w:rPr>
          <w:sz w:val="24"/>
          <w:szCs w:val="24"/>
        </w:rPr>
        <w:t>.</w:t>
      </w:r>
    </w:p>
    <w:p w14:paraId="3BDA3A38" w14:textId="77777777" w:rsidR="00BD22D8" w:rsidRDefault="00BD22D8">
      <w:pPr>
        <w:spacing w:after="0" w:line="240" w:lineRule="auto"/>
        <w:rPr>
          <w:rStyle w:val="Hipervnculo"/>
          <w:rFonts w:cstheme="minorHAnsi"/>
          <w:sz w:val="24"/>
          <w:szCs w:val="24"/>
        </w:rPr>
      </w:pPr>
    </w:p>
    <w:p w14:paraId="3DF83E80" w14:textId="2420FA7F" w:rsidR="00BD22D8" w:rsidRPr="00CB5DB4" w:rsidRDefault="00BD22D8" w:rsidP="00DD30C9">
      <w:pPr>
        <w:pStyle w:val="Default"/>
        <w:numPr>
          <w:ilvl w:val="0"/>
          <w:numId w:val="30"/>
        </w:numPr>
        <w:shd w:val="clear" w:color="auto" w:fill="C6D9F1"/>
        <w:spacing w:before="120"/>
        <w:ind w:left="1843" w:hanging="1777"/>
        <w:jc w:val="both"/>
        <w:outlineLvl w:val="0"/>
        <w:rPr>
          <w:rFonts w:ascii="Calibri" w:hAnsi="Calibri" w:cs="Calibri"/>
          <w:b/>
          <w:bCs/>
        </w:rPr>
      </w:pPr>
      <w:bookmarkStart w:id="77" w:name="_Toc132510967"/>
      <w:r>
        <w:rPr>
          <w:rFonts w:ascii="Calibri" w:hAnsi="Calibri" w:cs="Calibri"/>
          <w:b/>
          <w:bCs/>
        </w:rPr>
        <w:t>Segundo a Lei 18/2021, de 27 de decembro, de medidas fiscais e admnistrativas, incúmprese a distancia mínima entre os aeroxeradores e os núcleos de poboación</w:t>
      </w:r>
      <w:r w:rsidRPr="00CB5DB4">
        <w:rPr>
          <w:rFonts w:ascii="Calibri" w:hAnsi="Calibri" w:cs="Calibri"/>
          <w:b/>
          <w:bCs/>
        </w:rPr>
        <w:t>.</w:t>
      </w:r>
      <w:bookmarkEnd w:id="77"/>
    </w:p>
    <w:p w14:paraId="2A8D0E35" w14:textId="7252EDD3" w:rsidR="009A07AE" w:rsidRDefault="009A07AE">
      <w:pPr>
        <w:spacing w:after="0" w:line="240" w:lineRule="auto"/>
        <w:rPr>
          <w:rStyle w:val="Hipervnculo"/>
          <w:rFonts w:cstheme="minorHAnsi"/>
          <w:sz w:val="24"/>
          <w:szCs w:val="24"/>
        </w:rPr>
      </w:pPr>
    </w:p>
    <w:p w14:paraId="66AB73FD" w14:textId="651DAA88" w:rsidR="00BD22D8" w:rsidRDefault="00BD22D8" w:rsidP="00BD22D8">
      <w:pPr>
        <w:spacing w:after="0" w:line="240" w:lineRule="auto"/>
        <w:jc w:val="both"/>
        <w:rPr>
          <w:rStyle w:val="Hipervnculo"/>
          <w:rFonts w:cstheme="minorHAnsi"/>
          <w:color w:val="000000" w:themeColor="text1"/>
          <w:sz w:val="24"/>
          <w:szCs w:val="24"/>
          <w:u w:val="none"/>
        </w:rPr>
      </w:pPr>
      <w:r>
        <w:rPr>
          <w:rStyle w:val="Hipervnculo"/>
          <w:rFonts w:cstheme="minorHAnsi"/>
          <w:color w:val="000000" w:themeColor="text1"/>
          <w:sz w:val="24"/>
          <w:szCs w:val="24"/>
          <w:u w:val="none"/>
        </w:rPr>
        <w:t>Os cálculos que esgrime a promotora</w:t>
      </w:r>
      <w:r w:rsidR="00031E4D">
        <w:rPr>
          <w:rStyle w:val="Hipervnculo"/>
          <w:rFonts w:cstheme="minorHAnsi"/>
          <w:color w:val="000000" w:themeColor="text1"/>
          <w:sz w:val="24"/>
          <w:szCs w:val="24"/>
          <w:u w:val="none"/>
        </w:rPr>
        <w:t xml:space="preserve"> para definir a distancia mínima entre aeroxeradores e núcleos de poboación</w:t>
      </w:r>
      <w:r>
        <w:rPr>
          <w:rStyle w:val="Hipervnculo"/>
          <w:rFonts w:cstheme="minorHAnsi"/>
          <w:color w:val="000000" w:themeColor="text1"/>
          <w:sz w:val="24"/>
          <w:szCs w:val="24"/>
          <w:u w:val="none"/>
        </w:rPr>
        <w:t xml:space="preserve">, baséanse nunha lei anterior á Lei 18/2021 que establecía unha distancia mínima de 500 metros entre </w:t>
      </w:r>
      <w:r w:rsidR="00031E4D">
        <w:rPr>
          <w:rStyle w:val="Hipervnculo"/>
          <w:rFonts w:cstheme="minorHAnsi"/>
          <w:color w:val="000000" w:themeColor="text1"/>
          <w:sz w:val="24"/>
          <w:szCs w:val="24"/>
          <w:u w:val="none"/>
        </w:rPr>
        <w:t>ambos</w:t>
      </w:r>
      <w:r>
        <w:rPr>
          <w:rStyle w:val="Hipervnculo"/>
          <w:rFonts w:cstheme="minorHAnsi"/>
          <w:color w:val="000000" w:themeColor="text1"/>
          <w:sz w:val="24"/>
          <w:szCs w:val="24"/>
          <w:u w:val="none"/>
        </w:rPr>
        <w:t>, norma que existíu cando a altura dos aeroxeradores non era a actual.</w:t>
      </w:r>
    </w:p>
    <w:p w14:paraId="4F998D24" w14:textId="77777777" w:rsidR="00BD22D8" w:rsidRDefault="00BD22D8" w:rsidP="00BD22D8">
      <w:pPr>
        <w:spacing w:after="0" w:line="240" w:lineRule="auto"/>
        <w:jc w:val="both"/>
        <w:rPr>
          <w:rStyle w:val="Hipervnculo"/>
          <w:rFonts w:cstheme="minorHAnsi"/>
          <w:color w:val="000000" w:themeColor="text1"/>
          <w:sz w:val="24"/>
          <w:szCs w:val="24"/>
          <w:u w:val="none"/>
        </w:rPr>
      </w:pPr>
    </w:p>
    <w:p w14:paraId="36A758CB" w14:textId="0AF86F0A" w:rsidR="00BD22D8" w:rsidRDefault="00BD22D8" w:rsidP="00BD22D8">
      <w:pPr>
        <w:spacing w:after="0" w:line="240" w:lineRule="auto"/>
        <w:jc w:val="both"/>
        <w:rPr>
          <w:rStyle w:val="Hipervnculo"/>
          <w:rFonts w:cstheme="minorHAnsi"/>
          <w:b/>
          <w:color w:val="000000" w:themeColor="text1"/>
          <w:sz w:val="24"/>
          <w:szCs w:val="24"/>
          <w:u w:val="none"/>
        </w:rPr>
      </w:pPr>
      <w:r>
        <w:rPr>
          <w:rStyle w:val="Hipervnculo"/>
          <w:rFonts w:cstheme="minorHAnsi"/>
          <w:color w:val="000000" w:themeColor="text1"/>
          <w:sz w:val="24"/>
          <w:szCs w:val="24"/>
          <w:u w:val="none"/>
        </w:rPr>
        <w:t>Os aeroxeradores Nordex N163 propostos, teñen unha altura de buxa de 148 m e un diámetro das p</w:t>
      </w:r>
      <w:r w:rsidR="00031E4D">
        <w:rPr>
          <w:rStyle w:val="Hipervnculo"/>
          <w:rFonts w:cstheme="minorHAnsi"/>
          <w:color w:val="000000" w:themeColor="text1"/>
          <w:sz w:val="24"/>
          <w:szCs w:val="24"/>
          <w:u w:val="none"/>
        </w:rPr>
        <w:t>á</w:t>
      </w:r>
      <w:r>
        <w:rPr>
          <w:rStyle w:val="Hipervnculo"/>
          <w:rFonts w:cstheme="minorHAnsi"/>
          <w:color w:val="000000" w:themeColor="text1"/>
          <w:sz w:val="24"/>
          <w:szCs w:val="24"/>
          <w:u w:val="none"/>
        </w:rPr>
        <w:t xml:space="preserve">s de 163 m, o que da unha altura total de (148 + (163 / 2) = </w:t>
      </w:r>
      <w:r w:rsidRPr="00BD22D8">
        <w:rPr>
          <w:rStyle w:val="Hipervnculo"/>
          <w:rFonts w:cstheme="minorHAnsi"/>
          <w:b/>
          <w:color w:val="000000" w:themeColor="text1"/>
          <w:sz w:val="24"/>
          <w:szCs w:val="24"/>
          <w:u w:val="none"/>
        </w:rPr>
        <w:t>229,5 m.</w:t>
      </w:r>
    </w:p>
    <w:p w14:paraId="28B7F0EE" w14:textId="77777777" w:rsidR="00031E4D" w:rsidRDefault="00031E4D" w:rsidP="00BD22D8">
      <w:pPr>
        <w:spacing w:after="0" w:line="240" w:lineRule="auto"/>
        <w:jc w:val="both"/>
        <w:rPr>
          <w:rStyle w:val="Hipervnculo"/>
          <w:rFonts w:cstheme="minorHAnsi"/>
          <w:b/>
          <w:color w:val="000000" w:themeColor="text1"/>
          <w:sz w:val="24"/>
          <w:szCs w:val="24"/>
          <w:u w:val="none"/>
        </w:rPr>
      </w:pPr>
    </w:p>
    <w:p w14:paraId="33A2B2BA" w14:textId="5FC3AABE" w:rsidR="00031E4D" w:rsidRDefault="00031E4D" w:rsidP="00BD22D8">
      <w:pPr>
        <w:spacing w:after="0" w:line="240" w:lineRule="auto"/>
        <w:jc w:val="both"/>
        <w:rPr>
          <w:rStyle w:val="Hipervnculo"/>
          <w:rFonts w:cstheme="minorHAnsi"/>
          <w:b/>
          <w:color w:val="000000" w:themeColor="text1"/>
          <w:sz w:val="24"/>
          <w:szCs w:val="24"/>
          <w:u w:val="none"/>
        </w:rPr>
      </w:pPr>
      <w:r w:rsidRPr="00031E4D">
        <w:rPr>
          <w:rStyle w:val="Hipervnculo"/>
          <w:rFonts w:cstheme="minorHAnsi"/>
          <w:color w:val="000000" w:themeColor="text1"/>
          <w:sz w:val="24"/>
          <w:szCs w:val="24"/>
          <w:u w:val="none"/>
        </w:rPr>
        <w:t>A Lei 18/2021, establece</w:t>
      </w:r>
      <w:r>
        <w:rPr>
          <w:rStyle w:val="Hipervnculo"/>
          <w:rFonts w:cstheme="minorHAnsi"/>
          <w:color w:val="000000" w:themeColor="text1"/>
          <w:sz w:val="24"/>
          <w:szCs w:val="24"/>
          <w:u w:val="none"/>
        </w:rPr>
        <w:t xml:space="preserve"> unha distancia mínima entre os aeroxeradores e os núcleos de poboación de 5 veces a altura do aeroxerador. Para éste caso, estamos a falar de </w:t>
      </w:r>
      <w:r w:rsidRPr="00031E4D">
        <w:rPr>
          <w:rStyle w:val="Hipervnculo"/>
          <w:rFonts w:cstheme="minorHAnsi"/>
          <w:b/>
          <w:color w:val="000000" w:themeColor="text1"/>
          <w:sz w:val="24"/>
          <w:szCs w:val="24"/>
          <w:u w:val="none"/>
        </w:rPr>
        <w:t>1.147,5 m.</w:t>
      </w:r>
    </w:p>
    <w:p w14:paraId="707A1383" w14:textId="77777777" w:rsidR="00031E4D" w:rsidRDefault="00031E4D" w:rsidP="00BD22D8">
      <w:pPr>
        <w:spacing w:after="0" w:line="240" w:lineRule="auto"/>
        <w:jc w:val="both"/>
        <w:rPr>
          <w:rStyle w:val="Hipervnculo"/>
          <w:rFonts w:cstheme="minorHAnsi"/>
          <w:b/>
          <w:color w:val="000000" w:themeColor="text1"/>
          <w:sz w:val="24"/>
          <w:szCs w:val="24"/>
          <w:u w:val="none"/>
        </w:rPr>
      </w:pPr>
    </w:p>
    <w:p w14:paraId="164B764A" w14:textId="79B9330C" w:rsidR="00031E4D" w:rsidRDefault="00031E4D" w:rsidP="00BD22D8">
      <w:pPr>
        <w:spacing w:after="0" w:line="240" w:lineRule="auto"/>
        <w:jc w:val="both"/>
        <w:rPr>
          <w:rStyle w:val="Hipervnculo"/>
          <w:rFonts w:cstheme="minorHAnsi"/>
          <w:color w:val="000000" w:themeColor="text1"/>
          <w:sz w:val="24"/>
          <w:szCs w:val="24"/>
          <w:u w:val="none"/>
        </w:rPr>
      </w:pPr>
      <w:r w:rsidRPr="00031E4D">
        <w:rPr>
          <w:rStyle w:val="Hipervnculo"/>
          <w:rFonts w:cstheme="minorHAnsi"/>
          <w:color w:val="000000" w:themeColor="text1"/>
          <w:sz w:val="24"/>
          <w:szCs w:val="24"/>
          <w:u w:val="none"/>
        </w:rPr>
        <w:t>Dado que este proxecto</w:t>
      </w:r>
      <w:r>
        <w:rPr>
          <w:rStyle w:val="Hipervnculo"/>
          <w:rFonts w:cstheme="minorHAnsi"/>
          <w:color w:val="000000" w:themeColor="text1"/>
          <w:sz w:val="24"/>
          <w:szCs w:val="24"/>
          <w:u w:val="none"/>
        </w:rPr>
        <w:t xml:space="preserve"> está en tramitación, debe aplicarse a normativa actual e non a obsoleta, como pretenda a promotora.</w:t>
      </w:r>
    </w:p>
    <w:p w14:paraId="4CC9EDEB" w14:textId="77777777" w:rsidR="00031E4D" w:rsidRDefault="00031E4D" w:rsidP="00BD22D8">
      <w:pPr>
        <w:spacing w:after="0" w:line="240" w:lineRule="auto"/>
        <w:jc w:val="both"/>
        <w:rPr>
          <w:rStyle w:val="Hipervnculo"/>
          <w:rFonts w:cstheme="minorHAnsi"/>
          <w:color w:val="000000" w:themeColor="text1"/>
          <w:sz w:val="24"/>
          <w:szCs w:val="24"/>
          <w:u w:val="none"/>
        </w:rPr>
      </w:pPr>
    </w:p>
    <w:p w14:paraId="50E85C07" w14:textId="240420D3" w:rsidR="00031E4D" w:rsidRDefault="00031E4D" w:rsidP="00BD22D8">
      <w:pPr>
        <w:spacing w:after="0" w:line="240" w:lineRule="auto"/>
        <w:jc w:val="both"/>
        <w:rPr>
          <w:rStyle w:val="Hipervnculo"/>
          <w:rFonts w:cstheme="minorHAnsi"/>
          <w:color w:val="000000" w:themeColor="text1"/>
          <w:sz w:val="24"/>
          <w:szCs w:val="24"/>
          <w:u w:val="none"/>
        </w:rPr>
      </w:pPr>
      <w:r>
        <w:rPr>
          <w:rStyle w:val="Hipervnculo"/>
          <w:rFonts w:cstheme="minorHAnsi"/>
          <w:color w:val="000000" w:themeColor="text1"/>
          <w:sz w:val="24"/>
          <w:szCs w:val="24"/>
          <w:u w:val="none"/>
        </w:rPr>
        <w:t>Se aplicamos esta distancia mínima entre aeroxerador e as casas, 3 dos 4 aeroxeradores incumprirían esta norma afectando ás delimitacións de solo de núcleo rural do concello de Oia, concretamente Os Loureiros e Torroña.</w:t>
      </w:r>
    </w:p>
    <w:p w14:paraId="74B1E49E" w14:textId="77777777" w:rsidR="006F212D" w:rsidRDefault="006F212D" w:rsidP="00BD22D8">
      <w:pPr>
        <w:spacing w:after="0" w:line="240" w:lineRule="auto"/>
        <w:jc w:val="both"/>
        <w:rPr>
          <w:rStyle w:val="Hipervnculo"/>
          <w:rFonts w:cstheme="minorHAnsi"/>
          <w:color w:val="000000" w:themeColor="text1"/>
          <w:sz w:val="24"/>
          <w:szCs w:val="24"/>
          <w:u w:val="none"/>
        </w:rPr>
      </w:pPr>
    </w:p>
    <w:p w14:paraId="6EDE408D" w14:textId="77777777" w:rsidR="006F212D" w:rsidRPr="009B1BBF" w:rsidRDefault="006F212D" w:rsidP="00DD30C9">
      <w:pPr>
        <w:pStyle w:val="Default"/>
        <w:numPr>
          <w:ilvl w:val="0"/>
          <w:numId w:val="31"/>
        </w:numPr>
        <w:shd w:val="clear" w:color="auto" w:fill="C6D9F1"/>
        <w:spacing w:before="120"/>
        <w:ind w:left="1701" w:hanging="1637"/>
        <w:jc w:val="both"/>
        <w:outlineLvl w:val="0"/>
        <w:rPr>
          <w:rFonts w:ascii="Calibri" w:hAnsi="Calibri" w:cs="Calibri"/>
          <w:b/>
          <w:bCs/>
        </w:rPr>
      </w:pPr>
      <w:bookmarkStart w:id="78" w:name="_Toc87980526"/>
      <w:bookmarkStart w:id="79" w:name="_Toc88004907"/>
      <w:bookmarkStart w:id="80" w:name="_Toc132510968"/>
      <w:bookmarkStart w:id="81" w:name="_Hlk87742033"/>
      <w:r w:rsidRPr="009B1BBF">
        <w:rPr>
          <w:rFonts w:ascii="Calibri" w:hAnsi="Calibri" w:cs="Calibri"/>
          <w:b/>
          <w:bCs/>
        </w:rPr>
        <w:t>Deficiente avaliación da afección a hábitats e especies de interés comunitario consonte á Directiva 92/43/CEE, relativa á Conservación de Hábitats Naturais e da Fauna e Flora Silvestres, actualizada a través da Directiva 97/62/CEE.</w:t>
      </w:r>
      <w:bookmarkEnd w:id="78"/>
      <w:bookmarkEnd w:id="79"/>
      <w:bookmarkEnd w:id="80"/>
    </w:p>
    <w:bookmarkEnd w:id="81"/>
    <w:p w14:paraId="3FAE59ED" w14:textId="77777777" w:rsidR="00DC153E" w:rsidRDefault="00DC153E" w:rsidP="00DC153E">
      <w:pPr>
        <w:spacing w:before="120" w:line="240" w:lineRule="auto"/>
        <w:ind w:left="64"/>
        <w:jc w:val="both"/>
        <w:rPr>
          <w:sz w:val="24"/>
          <w:szCs w:val="24"/>
        </w:rPr>
      </w:pPr>
      <w:r>
        <w:rPr>
          <w:sz w:val="24"/>
          <w:szCs w:val="24"/>
        </w:rPr>
        <w:t xml:space="preserve">A construcción do PE Torroña I afectará a hábitats naturais e especies de interés comunitartio, algúns deles considerados prioritarios conforme ao artigo 1 da Directiva 92/43/CEE relativa á conservación dos hábitats naturais e de fauna e flora silvestres, trasladado ó ordeamento xurídico español nos anexos I, II e V da Ley 52/2007 do Patrimonio Natural e da Biodiversidade. </w:t>
      </w:r>
    </w:p>
    <w:p w14:paraId="1EBCA36E" w14:textId="77777777" w:rsidR="00DC153E" w:rsidRDefault="00DC153E" w:rsidP="00DC153E">
      <w:pPr>
        <w:spacing w:line="240" w:lineRule="auto"/>
        <w:ind w:left="64"/>
        <w:jc w:val="both"/>
        <w:rPr>
          <w:color w:val="000000" w:themeColor="text1"/>
          <w:sz w:val="24"/>
          <w:szCs w:val="24"/>
        </w:rPr>
      </w:pPr>
      <w:r>
        <w:rPr>
          <w:sz w:val="24"/>
          <w:szCs w:val="24"/>
        </w:rPr>
        <w:t xml:space="preserve">Existe unha deficiente caracterización destes hábitats no EsIA e non se incorpora no EsIA unha cartografía precisa das extensións dos diferentes tipos de hábitats de interés comunitario polo que resulta imposible predecir os efectos que sobre este tipo de hábitats terá o PE. Debe terse en conta que a poligonal do PE Torroña I abrangue unha superficie de 1.384,45 hectáreas e que ademáis das obras de instalación dos aeroxeradores e das zanxas de conducción da electricidade (10.976 metros), prevense plataformas auxiliares, zonas de xiro, zonas de faena subestación </w:t>
      </w:r>
      <w:r>
        <w:rPr>
          <w:sz w:val="24"/>
          <w:szCs w:val="24"/>
        </w:rPr>
        <w:lastRenderedPageBreak/>
        <w:t xml:space="preserve">transformadora, instalación de torres meteorolóxicas, etc, todas elas especificadas no proxecto </w:t>
      </w:r>
      <w:r>
        <w:rPr>
          <w:color w:val="000000" w:themeColor="text1"/>
          <w:sz w:val="24"/>
          <w:szCs w:val="24"/>
        </w:rPr>
        <w:t xml:space="preserve">técnico, porén non se achega un estudo pormenorizado dos efectos que estas obras terán sobre os diferentes tipos de hábitats. </w:t>
      </w:r>
      <w:r>
        <w:rPr>
          <w:b/>
          <w:color w:val="000000" w:themeColor="text1"/>
          <w:sz w:val="24"/>
          <w:szCs w:val="24"/>
        </w:rPr>
        <w:t>Debe terse presente que no proxecto de execución prevense acción de desbroce e de desmonte aos que haberá que sumar as superficies afectadas polos acopios de material que non se especifican no proxecto de execución, polo que é necesario coñecer con detalle as superficies dos diferentes hábitats que serán afectados</w:t>
      </w:r>
      <w:r>
        <w:rPr>
          <w:color w:val="000000" w:themeColor="text1"/>
          <w:sz w:val="24"/>
          <w:szCs w:val="24"/>
        </w:rPr>
        <w:t>.</w:t>
      </w:r>
    </w:p>
    <w:p w14:paraId="45D66DA1" w14:textId="77777777" w:rsidR="00DC153E" w:rsidRDefault="00DC153E" w:rsidP="00DC153E">
      <w:pPr>
        <w:spacing w:line="240" w:lineRule="auto"/>
        <w:ind w:left="64"/>
        <w:jc w:val="both"/>
        <w:rPr>
          <w:sz w:val="24"/>
          <w:szCs w:val="24"/>
        </w:rPr>
      </w:pPr>
      <w:r>
        <w:rPr>
          <w:sz w:val="24"/>
          <w:szCs w:val="24"/>
        </w:rPr>
        <w:t>O EsIA tan só enumera hábitats naturais recollidos na bibliografía e non existe un estudo de campo para a identificación, cartografía e carcaterización dos hábitats existentes. Tan só se enumeran os hábitats:</w:t>
      </w:r>
    </w:p>
    <w:p w14:paraId="4E389BF2" w14:textId="77777777" w:rsidR="00DC153E" w:rsidRDefault="00DC153E" w:rsidP="00DC153E">
      <w:pPr>
        <w:numPr>
          <w:ilvl w:val="2"/>
          <w:numId w:val="35"/>
        </w:numPr>
        <w:spacing w:after="0" w:line="240" w:lineRule="auto"/>
        <w:ind w:left="1155"/>
        <w:jc w:val="both"/>
        <w:rPr>
          <w:sz w:val="24"/>
          <w:szCs w:val="24"/>
        </w:rPr>
      </w:pPr>
      <w:r>
        <w:rPr>
          <w:sz w:val="24"/>
          <w:szCs w:val="24"/>
        </w:rPr>
        <w:t xml:space="preserve">3130. Augas estancadas, oligotróficas ou mesotróficas con vexetación de </w:t>
      </w:r>
      <w:r>
        <w:rPr>
          <w:i/>
          <w:iCs/>
          <w:sz w:val="24"/>
          <w:szCs w:val="24"/>
        </w:rPr>
        <w:t>Littorelletea uniflorae</w:t>
      </w:r>
      <w:r>
        <w:rPr>
          <w:sz w:val="24"/>
          <w:szCs w:val="24"/>
        </w:rPr>
        <w:t xml:space="preserve"> e/ou </w:t>
      </w:r>
      <w:r>
        <w:rPr>
          <w:i/>
          <w:iCs/>
          <w:sz w:val="24"/>
          <w:szCs w:val="24"/>
        </w:rPr>
        <w:t>Isoeto-Nanojuncetea</w:t>
      </w:r>
    </w:p>
    <w:p w14:paraId="6CC36050" w14:textId="77777777" w:rsidR="00DC153E" w:rsidRDefault="00DC153E" w:rsidP="00DC153E">
      <w:pPr>
        <w:numPr>
          <w:ilvl w:val="2"/>
          <w:numId w:val="35"/>
        </w:numPr>
        <w:spacing w:after="0" w:line="240" w:lineRule="auto"/>
        <w:ind w:left="1155"/>
        <w:jc w:val="both"/>
        <w:rPr>
          <w:sz w:val="24"/>
          <w:szCs w:val="24"/>
        </w:rPr>
      </w:pPr>
      <w:r>
        <w:rPr>
          <w:sz w:val="24"/>
          <w:szCs w:val="24"/>
        </w:rPr>
        <w:t>4020. Brezal Húmido Atlantico</w:t>
      </w:r>
    </w:p>
    <w:p w14:paraId="1E52CF41" w14:textId="77777777" w:rsidR="00DC153E" w:rsidRDefault="00DC153E" w:rsidP="00DC153E">
      <w:pPr>
        <w:numPr>
          <w:ilvl w:val="2"/>
          <w:numId w:val="35"/>
        </w:numPr>
        <w:spacing w:after="0" w:line="240" w:lineRule="auto"/>
        <w:ind w:left="1155"/>
        <w:jc w:val="both"/>
        <w:rPr>
          <w:sz w:val="24"/>
          <w:szCs w:val="24"/>
        </w:rPr>
      </w:pPr>
      <w:r>
        <w:rPr>
          <w:sz w:val="24"/>
          <w:szCs w:val="24"/>
        </w:rPr>
        <w:t>4030. Matogueira seca. Brezal Seco Europeo</w:t>
      </w:r>
    </w:p>
    <w:p w14:paraId="69E5C38F" w14:textId="77777777" w:rsidR="00DC153E" w:rsidRDefault="00DC153E" w:rsidP="00DC153E">
      <w:pPr>
        <w:numPr>
          <w:ilvl w:val="2"/>
          <w:numId w:val="35"/>
        </w:numPr>
        <w:spacing w:after="0" w:line="240" w:lineRule="auto"/>
        <w:ind w:left="1155"/>
        <w:jc w:val="both"/>
        <w:rPr>
          <w:sz w:val="24"/>
          <w:szCs w:val="24"/>
        </w:rPr>
      </w:pPr>
      <w:r>
        <w:rPr>
          <w:sz w:val="24"/>
          <w:szCs w:val="24"/>
        </w:rPr>
        <w:t>7150. Turbeiras de cobertura</w:t>
      </w:r>
    </w:p>
    <w:p w14:paraId="2E8C21B6" w14:textId="77777777" w:rsidR="00DC153E" w:rsidRDefault="00DC153E" w:rsidP="00DC153E">
      <w:pPr>
        <w:numPr>
          <w:ilvl w:val="2"/>
          <w:numId w:val="35"/>
        </w:numPr>
        <w:spacing w:after="0" w:line="240" w:lineRule="auto"/>
        <w:ind w:left="1155"/>
        <w:jc w:val="both"/>
        <w:rPr>
          <w:sz w:val="24"/>
          <w:szCs w:val="24"/>
        </w:rPr>
      </w:pPr>
      <w:r>
        <w:rPr>
          <w:sz w:val="24"/>
          <w:szCs w:val="24"/>
        </w:rPr>
        <w:t>8020. Pendentes rochosas silíceas con vexetación casmofítica</w:t>
      </w:r>
    </w:p>
    <w:p w14:paraId="50F61803" w14:textId="77777777" w:rsidR="00DC153E" w:rsidRDefault="00DC153E" w:rsidP="00DC153E">
      <w:pPr>
        <w:numPr>
          <w:ilvl w:val="2"/>
          <w:numId w:val="35"/>
        </w:numPr>
        <w:spacing w:after="0" w:line="240" w:lineRule="auto"/>
        <w:ind w:left="1155"/>
        <w:jc w:val="both"/>
        <w:rPr>
          <w:sz w:val="24"/>
          <w:szCs w:val="24"/>
        </w:rPr>
      </w:pPr>
      <w:r>
        <w:rPr>
          <w:sz w:val="24"/>
          <w:szCs w:val="24"/>
        </w:rPr>
        <w:t xml:space="preserve">4020. Brezais húmidos atlánticos de zonas temperadas de </w:t>
      </w:r>
      <w:r>
        <w:rPr>
          <w:i/>
          <w:iCs/>
          <w:sz w:val="24"/>
          <w:szCs w:val="24"/>
        </w:rPr>
        <w:t>Erica ciliaris</w:t>
      </w:r>
      <w:r>
        <w:rPr>
          <w:sz w:val="24"/>
          <w:szCs w:val="24"/>
        </w:rPr>
        <w:t xml:space="preserve"> e </w:t>
      </w:r>
      <w:r>
        <w:rPr>
          <w:i/>
          <w:iCs/>
          <w:sz w:val="24"/>
          <w:szCs w:val="24"/>
        </w:rPr>
        <w:t>Erica tetralix</w:t>
      </w:r>
    </w:p>
    <w:p w14:paraId="0C03FD37" w14:textId="77777777" w:rsidR="00DC153E" w:rsidRDefault="00DC153E" w:rsidP="00DC153E">
      <w:pPr>
        <w:spacing w:before="120" w:line="240" w:lineRule="auto"/>
        <w:ind w:left="64"/>
        <w:jc w:val="both"/>
        <w:rPr>
          <w:sz w:val="24"/>
          <w:szCs w:val="24"/>
        </w:rPr>
      </w:pPr>
      <w:r>
        <w:rPr>
          <w:sz w:val="24"/>
          <w:szCs w:val="24"/>
        </w:rPr>
        <w:t>Non se teñen en conta os seguintes hábitats (inclúense os números de código según a Directiva 92/43/CE):</w:t>
      </w:r>
    </w:p>
    <w:p w14:paraId="1015DD75" w14:textId="77777777" w:rsidR="00DC153E" w:rsidRDefault="00DC153E" w:rsidP="00DC153E">
      <w:pPr>
        <w:spacing w:after="0" w:line="240" w:lineRule="auto"/>
        <w:ind w:left="64"/>
        <w:jc w:val="both"/>
        <w:rPr>
          <w:rFonts w:cs="Calibri"/>
          <w:sz w:val="24"/>
          <w:szCs w:val="24"/>
          <w:lang w:eastAsia="es-ES"/>
        </w:rPr>
      </w:pPr>
      <w:r>
        <w:rPr>
          <w:rFonts w:cs="Calibri"/>
          <w:sz w:val="24"/>
          <w:szCs w:val="24"/>
          <w:lang w:eastAsia="es-ES"/>
        </w:rPr>
        <w:t xml:space="preserve">31. Augas </w:t>
      </w:r>
      <w:r>
        <w:rPr>
          <w:rFonts w:cs="Courier New"/>
          <w:sz w:val="24"/>
          <w:szCs w:val="24"/>
          <w:lang w:eastAsia="es-ES"/>
        </w:rPr>
        <w:t>estancadas</w:t>
      </w:r>
    </w:p>
    <w:p w14:paraId="31DD8701" w14:textId="77777777" w:rsidR="00DC153E" w:rsidRDefault="00DC153E" w:rsidP="00DC153E">
      <w:pPr>
        <w:spacing w:after="0" w:line="240" w:lineRule="auto"/>
        <w:ind w:left="64"/>
        <w:jc w:val="both"/>
        <w:rPr>
          <w:rFonts w:cs="Calibri"/>
          <w:sz w:val="24"/>
          <w:szCs w:val="24"/>
          <w:lang w:eastAsia="es-ES"/>
        </w:rPr>
      </w:pPr>
      <w:r>
        <w:rPr>
          <w:rFonts w:cs="Calibri"/>
          <w:sz w:val="24"/>
          <w:szCs w:val="24"/>
          <w:lang w:eastAsia="es-ES"/>
        </w:rPr>
        <w:t xml:space="preserve">3110.  Augas </w:t>
      </w:r>
      <w:r>
        <w:rPr>
          <w:rFonts w:cs="Courier New"/>
          <w:sz w:val="24"/>
          <w:szCs w:val="24"/>
          <w:lang w:eastAsia="es-ES"/>
        </w:rPr>
        <w:t>oligotróficas</w:t>
      </w:r>
      <w:r>
        <w:rPr>
          <w:rFonts w:cs="Calibri"/>
          <w:sz w:val="24"/>
          <w:szCs w:val="24"/>
          <w:lang w:eastAsia="es-ES"/>
        </w:rPr>
        <w:t xml:space="preserve"> cun contido en minerais moi baixo das chans areosas (</w:t>
      </w:r>
      <w:r>
        <w:rPr>
          <w:rFonts w:cs="Calibri"/>
          <w:i/>
          <w:iCs/>
          <w:sz w:val="24"/>
          <w:szCs w:val="24"/>
          <w:lang w:eastAsia="es-ES"/>
        </w:rPr>
        <w:t>Littorelletalia uniflorae</w:t>
      </w:r>
      <w:r>
        <w:rPr>
          <w:rFonts w:cs="Calibri"/>
          <w:sz w:val="24"/>
          <w:szCs w:val="24"/>
          <w:lang w:eastAsia="es-ES"/>
        </w:rPr>
        <w:t>).</w:t>
      </w:r>
    </w:p>
    <w:p w14:paraId="1A90FF5E" w14:textId="77777777" w:rsidR="00DC153E" w:rsidRDefault="00DC153E" w:rsidP="00DC153E">
      <w:pPr>
        <w:spacing w:before="120" w:after="0" w:line="240" w:lineRule="auto"/>
        <w:ind w:left="631"/>
        <w:jc w:val="both"/>
        <w:rPr>
          <w:rFonts w:cs="Calibri"/>
          <w:sz w:val="24"/>
          <w:szCs w:val="24"/>
          <w:lang w:eastAsia="es-ES"/>
        </w:rPr>
      </w:pPr>
      <w:r>
        <w:rPr>
          <w:rFonts w:cs="Calibri"/>
          <w:sz w:val="24"/>
          <w:szCs w:val="24"/>
          <w:lang w:eastAsia="es-ES"/>
        </w:rPr>
        <w:t xml:space="preserve">Trátase de sistema lénticos estacionais de alta montaña de carácter ombrotrófico de orixe glaciar ou periglaciar que se desenvolven con frecuencia na Serra da Groba sobre sustratos silíceos. Trátase de espazos que xogan un papel fundamental no mantemento do equilibrio ecolóxico, especialmente nas épocas de balances hídricos negativos. Nestes ecosistemas acuáticos desenvólvese unha importante comunidade de anfibios, especialmente da especie </w:t>
      </w:r>
      <w:r>
        <w:rPr>
          <w:rFonts w:cs="Calibri"/>
          <w:i/>
          <w:iCs/>
          <w:sz w:val="24"/>
          <w:szCs w:val="24"/>
          <w:lang w:eastAsia="es-ES"/>
        </w:rPr>
        <w:t>Pelobates cultripes</w:t>
      </w:r>
      <w:r>
        <w:rPr>
          <w:rFonts w:cs="Calibri"/>
          <w:sz w:val="24"/>
          <w:szCs w:val="24"/>
          <w:lang w:eastAsia="es-ES"/>
        </w:rPr>
        <w:t>, catalogado como VULNERABLE no Catálogo Galego de Especies Ameazadas. Sobre a afección á comunidade de anfibios falarase máis adiante.</w:t>
      </w:r>
    </w:p>
    <w:p w14:paraId="47A16FFF" w14:textId="77777777" w:rsidR="00DC153E" w:rsidRDefault="00DC153E" w:rsidP="00DC153E">
      <w:pPr>
        <w:spacing w:before="120" w:after="120" w:line="240" w:lineRule="auto"/>
        <w:ind w:left="631"/>
        <w:jc w:val="both"/>
        <w:rPr>
          <w:rFonts w:cs="Calibri"/>
          <w:sz w:val="24"/>
          <w:szCs w:val="24"/>
          <w:lang w:eastAsia="es-ES"/>
        </w:rPr>
      </w:pPr>
      <w:r>
        <w:rPr>
          <w:rFonts w:cs="Calibri"/>
          <w:sz w:val="24"/>
          <w:szCs w:val="24"/>
          <w:lang w:eastAsia="es-ES"/>
        </w:rPr>
        <w:t>Por tratarse de masas de auga moi someras, son moi sensibles ós fenómenos de colmatación.</w:t>
      </w:r>
    </w:p>
    <w:p w14:paraId="175261FB" w14:textId="77777777" w:rsidR="00DC153E" w:rsidRDefault="00DC153E" w:rsidP="00DC153E">
      <w:pPr>
        <w:pBdr>
          <w:top w:val="single" w:sz="4" w:space="1" w:color="auto"/>
          <w:left w:val="single" w:sz="4" w:space="4" w:color="auto"/>
          <w:bottom w:val="single" w:sz="4" w:space="1" w:color="auto"/>
          <w:right w:val="single" w:sz="4" w:space="4" w:color="auto"/>
        </w:pBdr>
        <w:spacing w:after="0" w:line="240" w:lineRule="auto"/>
        <w:ind w:left="631"/>
        <w:jc w:val="both"/>
        <w:rPr>
          <w:rFonts w:cs="Calibri"/>
          <w:sz w:val="24"/>
          <w:szCs w:val="24"/>
          <w:lang w:eastAsia="es-ES"/>
        </w:rPr>
      </w:pPr>
      <w:r>
        <w:rPr>
          <w:rFonts w:cs="Calibri"/>
          <w:sz w:val="24"/>
          <w:szCs w:val="24"/>
          <w:lang w:eastAsia="es-ES"/>
        </w:rPr>
        <w:t>A remoción de terra nas súas inmediacións aportará gran cantidade de sedimentos que alterará as características físicoquímicas da auga e contribuirá á súa colmatación dimunindo a súa capacidade de retención de auga.</w:t>
      </w:r>
    </w:p>
    <w:p w14:paraId="4E859394" w14:textId="77777777" w:rsidR="00DC153E" w:rsidRDefault="00DC153E" w:rsidP="00DC153E">
      <w:pPr>
        <w:spacing w:after="0" w:line="240" w:lineRule="auto"/>
        <w:ind w:left="64"/>
        <w:jc w:val="both"/>
        <w:rPr>
          <w:rFonts w:cs="Calibri"/>
          <w:color w:val="0000FF"/>
          <w:sz w:val="24"/>
          <w:szCs w:val="24"/>
          <w:lang w:eastAsia="es-ES"/>
        </w:rPr>
      </w:pPr>
    </w:p>
    <w:p w14:paraId="757B73D9" w14:textId="77777777" w:rsidR="00DC153E" w:rsidRDefault="00DC153E" w:rsidP="00DC153E">
      <w:pPr>
        <w:spacing w:after="0" w:line="240" w:lineRule="auto"/>
        <w:ind w:left="489" w:hanging="425"/>
        <w:jc w:val="both"/>
        <w:rPr>
          <w:rFonts w:cs="Calibri"/>
          <w:sz w:val="24"/>
          <w:szCs w:val="24"/>
          <w:lang w:eastAsia="es-ES"/>
        </w:rPr>
      </w:pPr>
      <w:r>
        <w:rPr>
          <w:rFonts w:cs="Calibri"/>
          <w:sz w:val="24"/>
          <w:szCs w:val="24"/>
          <w:lang w:eastAsia="es-ES"/>
        </w:rPr>
        <w:t>32. Augas correntes – tramos de cursos de auga con dinámica natural e semi-natural (leitos menores, medios e maiores), nos que a calidade da auga non presenta alteracións significativas.</w:t>
      </w:r>
    </w:p>
    <w:p w14:paraId="1C1838EE" w14:textId="77777777" w:rsidR="00DC153E" w:rsidRDefault="00DC153E" w:rsidP="00DC153E">
      <w:pPr>
        <w:spacing w:before="120" w:after="0" w:line="240" w:lineRule="auto"/>
        <w:ind w:left="489" w:hanging="425"/>
        <w:jc w:val="both"/>
        <w:rPr>
          <w:rFonts w:cs="Calibri"/>
          <w:sz w:val="24"/>
          <w:szCs w:val="24"/>
          <w:lang w:eastAsia="es-ES"/>
        </w:rPr>
      </w:pPr>
      <w:r>
        <w:rPr>
          <w:rFonts w:cs="Calibri"/>
          <w:sz w:val="24"/>
          <w:szCs w:val="24"/>
          <w:lang w:eastAsia="es-ES"/>
        </w:rPr>
        <w:t xml:space="preserve">3260 Ríos, de pisos de planicie a montano con vexetación de </w:t>
      </w:r>
      <w:r>
        <w:rPr>
          <w:rFonts w:cs="Calibri"/>
          <w:i/>
          <w:iCs/>
          <w:sz w:val="24"/>
          <w:szCs w:val="24"/>
          <w:lang w:eastAsia="es-ES"/>
        </w:rPr>
        <w:t>Ranunculion fluitantis</w:t>
      </w:r>
      <w:r>
        <w:rPr>
          <w:rFonts w:cs="Calibri"/>
          <w:sz w:val="24"/>
          <w:szCs w:val="24"/>
          <w:lang w:eastAsia="es-ES"/>
        </w:rPr>
        <w:t xml:space="preserve"> e </w:t>
      </w:r>
      <w:r>
        <w:rPr>
          <w:rFonts w:cs="Calibri"/>
          <w:i/>
          <w:iCs/>
          <w:sz w:val="24"/>
          <w:szCs w:val="24"/>
          <w:lang w:eastAsia="es-ES"/>
        </w:rPr>
        <w:t>Callitricho-Batrachion</w:t>
      </w:r>
      <w:r>
        <w:rPr>
          <w:rFonts w:cs="Calibri"/>
          <w:sz w:val="24"/>
          <w:szCs w:val="24"/>
          <w:lang w:eastAsia="es-ES"/>
        </w:rPr>
        <w:t>.</w:t>
      </w:r>
    </w:p>
    <w:p w14:paraId="684CC7EB" w14:textId="77777777" w:rsidR="00DC153E" w:rsidRDefault="00DC153E" w:rsidP="00DC153E">
      <w:pPr>
        <w:spacing w:before="120" w:after="0" w:line="240" w:lineRule="auto"/>
        <w:ind w:left="489"/>
        <w:jc w:val="both"/>
        <w:rPr>
          <w:rFonts w:cs="Calibri"/>
          <w:sz w:val="24"/>
          <w:szCs w:val="24"/>
          <w:lang w:eastAsia="es-ES"/>
        </w:rPr>
      </w:pPr>
      <w:r>
        <w:rPr>
          <w:rFonts w:cs="Calibri"/>
          <w:sz w:val="24"/>
          <w:szCs w:val="24"/>
          <w:lang w:eastAsia="es-ES"/>
        </w:rPr>
        <w:t xml:space="preserve">Trátase de cursos de auga sobre os que se prevé un forte impacto ambiental dado que serán afectados polo trazado de viais e zanxas de conducción da liña eléctrica. Este tipo de hábitats non só son importantes pola comunidade vexetal que albergan senon tamén pola presenza dunha importante comunidade de anfibios tales como </w:t>
      </w:r>
      <w:r>
        <w:rPr>
          <w:rFonts w:cs="Calibri"/>
          <w:i/>
          <w:iCs/>
          <w:sz w:val="24"/>
          <w:szCs w:val="24"/>
          <w:lang w:eastAsia="es-ES"/>
        </w:rPr>
        <w:t xml:space="preserve">Rana ibérica </w:t>
      </w:r>
      <w:r>
        <w:rPr>
          <w:rFonts w:cs="Calibri"/>
          <w:sz w:val="24"/>
          <w:szCs w:val="24"/>
          <w:lang w:eastAsia="es-ES"/>
        </w:rPr>
        <w:t>e</w:t>
      </w:r>
      <w:r>
        <w:rPr>
          <w:rFonts w:cs="Calibri"/>
          <w:i/>
          <w:iCs/>
          <w:sz w:val="24"/>
          <w:szCs w:val="24"/>
          <w:lang w:eastAsia="es-ES"/>
        </w:rPr>
        <w:t xml:space="preserve"> Chioglosa lusitánica</w:t>
      </w:r>
      <w:r>
        <w:rPr>
          <w:rFonts w:cs="Calibri"/>
          <w:sz w:val="24"/>
          <w:szCs w:val="24"/>
          <w:lang w:eastAsia="es-ES"/>
        </w:rPr>
        <w:t>, ambas catalogadas como VULNERABLES no Catálogo Galego de Especies Ameazadas.</w:t>
      </w:r>
    </w:p>
    <w:p w14:paraId="649E6AD2" w14:textId="77777777" w:rsidR="00DC153E" w:rsidRDefault="00DC153E" w:rsidP="00DC153E">
      <w:pPr>
        <w:spacing w:before="120" w:after="0" w:line="240" w:lineRule="auto"/>
        <w:ind w:left="489" w:hanging="425"/>
        <w:jc w:val="both"/>
        <w:rPr>
          <w:rFonts w:cs="Calibri"/>
          <w:sz w:val="24"/>
          <w:szCs w:val="24"/>
          <w:lang w:eastAsia="es-ES"/>
        </w:rPr>
      </w:pPr>
      <w:r>
        <w:rPr>
          <w:rFonts w:cs="Calibri"/>
          <w:sz w:val="24"/>
          <w:szCs w:val="24"/>
          <w:lang w:eastAsia="es-ES"/>
        </w:rPr>
        <w:lastRenderedPageBreak/>
        <w:t>62 Formacións herbosas secas seminaturais e facies de matogueira.</w:t>
      </w:r>
    </w:p>
    <w:p w14:paraId="2C74DC12" w14:textId="77777777" w:rsidR="00DC153E" w:rsidRDefault="00DC153E" w:rsidP="00DC153E">
      <w:pPr>
        <w:spacing w:before="120" w:after="0" w:line="240" w:lineRule="auto"/>
        <w:ind w:left="489" w:hanging="425"/>
        <w:jc w:val="both"/>
        <w:rPr>
          <w:rFonts w:cs="Calibri"/>
          <w:sz w:val="24"/>
          <w:szCs w:val="24"/>
          <w:lang w:eastAsia="es-ES"/>
        </w:rPr>
      </w:pPr>
      <w:r>
        <w:rPr>
          <w:rFonts w:cs="Calibri"/>
          <w:sz w:val="24"/>
          <w:szCs w:val="24"/>
          <w:lang w:eastAsia="es-ES"/>
        </w:rPr>
        <w:t>6230* (prioritario). Formacións herbosas con Nardus, con numerosas especies, sobre sustratos silíceos de zonas montañosas -e de zonas submontañosas da Europa continental).</w:t>
      </w:r>
    </w:p>
    <w:p w14:paraId="1A2B79F4" w14:textId="77777777" w:rsidR="00DC153E" w:rsidRDefault="00DC153E" w:rsidP="00DC153E">
      <w:pPr>
        <w:spacing w:before="120" w:after="0" w:line="240" w:lineRule="auto"/>
        <w:ind w:left="489" w:hanging="425"/>
        <w:jc w:val="both"/>
        <w:rPr>
          <w:rFonts w:cs="Calibri"/>
          <w:sz w:val="24"/>
          <w:szCs w:val="24"/>
          <w:lang w:eastAsia="es-ES"/>
        </w:rPr>
      </w:pPr>
      <w:r>
        <w:rPr>
          <w:rFonts w:cs="Calibri"/>
          <w:sz w:val="24"/>
          <w:szCs w:val="24"/>
          <w:lang w:eastAsia="es-ES"/>
        </w:rPr>
        <w:t>82 Hábitats rochosos e covas</w:t>
      </w:r>
    </w:p>
    <w:p w14:paraId="10F25033" w14:textId="77777777" w:rsidR="00DC153E" w:rsidRDefault="00DC153E" w:rsidP="00DC153E">
      <w:pPr>
        <w:spacing w:before="120" w:after="0" w:line="240" w:lineRule="auto"/>
        <w:ind w:left="489" w:hanging="425"/>
        <w:jc w:val="both"/>
        <w:rPr>
          <w:rFonts w:cs="Calibri"/>
          <w:sz w:val="24"/>
          <w:szCs w:val="24"/>
          <w:lang w:eastAsia="es-ES"/>
        </w:rPr>
      </w:pPr>
      <w:r>
        <w:rPr>
          <w:rFonts w:cs="Calibri"/>
          <w:sz w:val="24"/>
          <w:szCs w:val="24"/>
          <w:lang w:eastAsia="es-ES"/>
        </w:rPr>
        <w:t>8220</w:t>
      </w:r>
      <w:r>
        <w:t xml:space="preserve"> </w:t>
      </w:r>
      <w:r>
        <w:rPr>
          <w:rFonts w:cs="Calibri"/>
          <w:sz w:val="24"/>
          <w:szCs w:val="24"/>
          <w:lang w:eastAsia="es-ES"/>
        </w:rPr>
        <w:t>Pendentes rochosas silíceas con vexetación casmofítica</w:t>
      </w:r>
    </w:p>
    <w:p w14:paraId="3AFB5DBD" w14:textId="77777777" w:rsidR="00DC153E" w:rsidRDefault="00DC153E" w:rsidP="00DC153E">
      <w:pPr>
        <w:spacing w:before="120" w:after="0" w:line="240" w:lineRule="auto"/>
        <w:ind w:left="489" w:hanging="425"/>
        <w:jc w:val="both"/>
        <w:rPr>
          <w:i/>
          <w:iCs/>
          <w:sz w:val="24"/>
          <w:szCs w:val="24"/>
        </w:rPr>
      </w:pPr>
      <w:r>
        <w:rPr>
          <w:rFonts w:cs="Calibri"/>
          <w:sz w:val="24"/>
          <w:szCs w:val="24"/>
          <w:lang w:eastAsia="es-ES"/>
        </w:rPr>
        <w:t>8230</w:t>
      </w:r>
      <w:r>
        <w:t xml:space="preserve"> </w:t>
      </w:r>
      <w:r>
        <w:rPr>
          <w:sz w:val="24"/>
          <w:szCs w:val="24"/>
        </w:rPr>
        <w:t xml:space="preserve">Rochedos silíceos con vexetación pioneira do </w:t>
      </w:r>
      <w:r>
        <w:rPr>
          <w:i/>
          <w:iCs/>
          <w:sz w:val="24"/>
          <w:szCs w:val="24"/>
        </w:rPr>
        <w:t>Sedo-Scleranthion</w:t>
      </w:r>
      <w:r>
        <w:rPr>
          <w:sz w:val="24"/>
          <w:szCs w:val="24"/>
        </w:rPr>
        <w:t xml:space="preserve"> ou do </w:t>
      </w:r>
      <w:r>
        <w:rPr>
          <w:i/>
          <w:iCs/>
          <w:sz w:val="24"/>
          <w:szCs w:val="24"/>
        </w:rPr>
        <w:t xml:space="preserve">Sedo albi-Veronicion dillenii </w:t>
      </w:r>
    </w:p>
    <w:p w14:paraId="5847F1C0" w14:textId="77777777" w:rsidR="00DC153E" w:rsidRDefault="00DC153E" w:rsidP="00DC153E">
      <w:pPr>
        <w:spacing w:before="120" w:after="0" w:line="240" w:lineRule="auto"/>
        <w:ind w:left="64"/>
        <w:jc w:val="both"/>
        <w:rPr>
          <w:sz w:val="24"/>
          <w:szCs w:val="24"/>
        </w:rPr>
      </w:pPr>
      <w:r>
        <w:rPr>
          <w:sz w:val="24"/>
          <w:szCs w:val="24"/>
        </w:rPr>
        <w:t xml:space="preserve">O EsIA mostra un descoñecemento absoluto das características dos hábitats acuáticos de carácter temporal e do valor ambiental dos mesmos. De feito, nin sequera aparecen ubicados nos mapas EsIA, é o caso da Poza das Aradelas e a Poza das Fontes, en Viladesuso que resultaría afectada directamenete pola ubicación dos aeroxeradores 2 e 4. Estes hábitats, sen embargo, aparecen catalogados na </w:t>
      </w:r>
      <w:r>
        <w:rPr>
          <w:i/>
          <w:iCs/>
          <w:sz w:val="24"/>
          <w:szCs w:val="24"/>
        </w:rPr>
        <w:t xml:space="preserve">Directiva 92/43/CE </w:t>
      </w:r>
      <w:r>
        <w:rPr>
          <w:sz w:val="24"/>
          <w:szCs w:val="24"/>
        </w:rPr>
        <w:t>coa denominación “</w:t>
      </w:r>
      <w:r>
        <w:rPr>
          <w:rFonts w:cs="Calibri"/>
          <w:i/>
          <w:iCs/>
          <w:sz w:val="24"/>
          <w:szCs w:val="24"/>
        </w:rPr>
        <w:t>Vexetación anfibia flotante de augas oligotróficas</w:t>
      </w:r>
      <w:r>
        <w:rPr>
          <w:rFonts w:cs="Calibri"/>
          <w:sz w:val="24"/>
          <w:szCs w:val="24"/>
        </w:rPr>
        <w:t xml:space="preserve"> “, co código 3110.</w:t>
      </w:r>
    </w:p>
    <w:p w14:paraId="5B1247A3" w14:textId="77777777" w:rsidR="00DC153E" w:rsidRDefault="00DC153E" w:rsidP="00DC153E">
      <w:pPr>
        <w:pStyle w:val="Standard"/>
        <w:spacing w:before="120"/>
        <w:ind w:left="64"/>
        <w:jc w:val="both"/>
        <w:rPr>
          <w:rFonts w:ascii="Calibri" w:hAnsi="Calibri" w:cs="Calibri"/>
        </w:rPr>
      </w:pPr>
      <w:r>
        <w:rPr>
          <w:rFonts w:ascii="Calibri" w:hAnsi="Calibri" w:cs="Calibri"/>
        </w:rPr>
        <w:t>Estas charcas de carácter estacional, que resultarían afectadas pola construción do parque eólico, son de vital importancia para a conservación de:</w:t>
      </w:r>
    </w:p>
    <w:p w14:paraId="67531FD7" w14:textId="77777777" w:rsidR="00DC153E" w:rsidRDefault="00DC153E" w:rsidP="00DC153E">
      <w:pPr>
        <w:pStyle w:val="Standard"/>
        <w:numPr>
          <w:ilvl w:val="0"/>
          <w:numId w:val="36"/>
        </w:numPr>
        <w:spacing w:before="120"/>
        <w:ind w:left="489" w:firstLine="0"/>
        <w:jc w:val="both"/>
        <w:textAlignment w:val="auto"/>
      </w:pPr>
      <w:r>
        <w:rPr>
          <w:rFonts w:ascii="Calibri" w:hAnsi="Calibri"/>
        </w:rPr>
        <w:t>Hábitats de carácter prioritario que se localizan no contorno das mesmas. Así, arredor das pozas que acollen un maior volume de auga encóntranse os hábitats prioritarios:</w:t>
      </w:r>
      <w:r>
        <w:rPr>
          <w:rFonts w:ascii="Calibri" w:hAnsi="Calibri"/>
          <w:i/>
          <w:iCs/>
        </w:rPr>
        <w:t xml:space="preserve"> Carrasqueiras húmidas atlánticas de Erica ciliaris</w:t>
      </w:r>
      <w:r>
        <w:rPr>
          <w:rFonts w:ascii="Calibri" w:hAnsi="Calibri"/>
        </w:rPr>
        <w:t xml:space="preserve"> e </w:t>
      </w:r>
      <w:r>
        <w:rPr>
          <w:rFonts w:ascii="Calibri" w:hAnsi="Calibri"/>
          <w:i/>
          <w:iCs/>
        </w:rPr>
        <w:t>Erica tetralix</w:t>
      </w:r>
      <w:r>
        <w:rPr>
          <w:rFonts w:ascii="Calibri" w:hAnsi="Calibri"/>
        </w:rPr>
        <w:t xml:space="preserve"> (4020) e </w:t>
      </w:r>
      <w:r>
        <w:rPr>
          <w:rFonts w:ascii="Calibri" w:hAnsi="Calibri"/>
          <w:i/>
          <w:iCs/>
        </w:rPr>
        <w:t>Formacións herbosas con Nardus, con numerosas especies, sobre sustratos silíceos de zonas montañosas -e de zonas submontañosas- de Europa continental</w:t>
      </w:r>
      <w:r>
        <w:rPr>
          <w:rFonts w:ascii="Calibri" w:hAnsi="Calibri"/>
        </w:rPr>
        <w:t xml:space="preserve"> (6230).</w:t>
      </w:r>
    </w:p>
    <w:p w14:paraId="7AF95CF5" w14:textId="77777777" w:rsidR="00DC153E" w:rsidRDefault="00DC153E" w:rsidP="00DC153E">
      <w:pPr>
        <w:pStyle w:val="Standard"/>
        <w:numPr>
          <w:ilvl w:val="0"/>
          <w:numId w:val="36"/>
        </w:numPr>
        <w:spacing w:before="120"/>
        <w:ind w:left="489" w:firstLine="0"/>
        <w:jc w:val="both"/>
        <w:textAlignment w:val="auto"/>
      </w:pPr>
      <w:r>
        <w:rPr>
          <w:rFonts w:ascii="Calibri" w:hAnsi="Calibri"/>
        </w:rPr>
        <w:t xml:space="preserve">Comunidades vexetais altamente especializadas que habitan en augas dóces de carácter temporal. Nas augas destas pozas medran as fanerógamas </w:t>
      </w:r>
      <w:r>
        <w:rPr>
          <w:rFonts w:ascii="Calibri" w:hAnsi="Calibri"/>
          <w:i/>
          <w:iCs/>
        </w:rPr>
        <w:t>Glyceria declinata</w:t>
      </w:r>
      <w:r>
        <w:rPr>
          <w:rFonts w:ascii="Calibri" w:hAnsi="Calibri"/>
        </w:rPr>
        <w:t xml:space="preserve">, </w:t>
      </w:r>
      <w:r>
        <w:rPr>
          <w:rFonts w:ascii="Calibri" w:hAnsi="Calibri"/>
          <w:i/>
          <w:iCs/>
        </w:rPr>
        <w:t>Callitriche sp</w:t>
      </w:r>
      <w:r>
        <w:rPr>
          <w:rFonts w:ascii="Calibri" w:hAnsi="Calibri"/>
        </w:rPr>
        <w:t xml:space="preserve">. e </w:t>
      </w:r>
      <w:r>
        <w:rPr>
          <w:rFonts w:ascii="Calibri" w:hAnsi="Calibri"/>
          <w:i/>
          <w:iCs/>
        </w:rPr>
        <w:t>Lythrum portula</w:t>
      </w:r>
      <w:r>
        <w:rPr>
          <w:rFonts w:ascii="Calibri" w:hAnsi="Calibri"/>
        </w:rPr>
        <w:t xml:space="preserve">, entre outras especies. En zonas de encharcamento máis somero e de menor duración é </w:t>
      </w:r>
      <w:r>
        <w:rPr>
          <w:rFonts w:ascii="Calibri" w:hAnsi="Calibri" w:cs="Calibri"/>
        </w:rPr>
        <w:t>posibel, ademais,</w:t>
      </w:r>
      <w:r>
        <w:rPr>
          <w:rFonts w:ascii="Calibri" w:hAnsi="Calibri"/>
        </w:rPr>
        <w:t xml:space="preserve"> encontrar a pteridófita </w:t>
      </w:r>
      <w:r>
        <w:rPr>
          <w:rFonts w:ascii="Calibri" w:hAnsi="Calibri"/>
          <w:i/>
          <w:iCs/>
        </w:rPr>
        <w:t>Isoetes histrix</w:t>
      </w:r>
      <w:r>
        <w:rPr>
          <w:rFonts w:ascii="Calibri" w:hAnsi="Calibri"/>
        </w:rPr>
        <w:t>. E</w:t>
      </w:r>
      <w:r>
        <w:rPr>
          <w:rFonts w:ascii="Calibri" w:hAnsi="Calibri" w:cs="Calibri"/>
        </w:rPr>
        <w:t xml:space="preserve">n solos estacionalmente enchoupados, moi comúns en toda a área, desenvólvese ademais unha comunidade de xuncos anuais da Clase </w:t>
      </w:r>
      <w:r>
        <w:rPr>
          <w:rFonts w:ascii="Calibri" w:hAnsi="Calibri" w:cs="Calibri"/>
          <w:i/>
          <w:iCs/>
        </w:rPr>
        <w:t>Isoeto‐Nanojuncetae</w:t>
      </w:r>
      <w:r>
        <w:rPr>
          <w:rFonts w:ascii="Calibri" w:hAnsi="Calibri" w:cs="Calibri"/>
        </w:rPr>
        <w:t>.</w:t>
      </w:r>
    </w:p>
    <w:p w14:paraId="4B702BBF" w14:textId="77777777" w:rsidR="00DC153E" w:rsidRDefault="00DC153E" w:rsidP="00DC153E">
      <w:pPr>
        <w:pStyle w:val="Standard"/>
        <w:numPr>
          <w:ilvl w:val="0"/>
          <w:numId w:val="36"/>
        </w:numPr>
        <w:spacing w:before="120"/>
        <w:ind w:left="489" w:firstLine="0"/>
        <w:jc w:val="both"/>
        <w:textAlignment w:val="auto"/>
      </w:pPr>
      <w:r>
        <w:rPr>
          <w:rFonts w:ascii="Calibri" w:hAnsi="Calibri"/>
        </w:rPr>
        <w:t xml:space="preserve">Invertebrados acuáticos adaptados ás condicións extremas que caracterizan a estes medios que sobreviven aos períodos de seca en forma de ovos, de grande interese deste o ponto de vista evolutivo. Así, as pozas afectadas polo proxecto eólico constitúen o hábitat duns crustáceos anostráceos de grande primitivismo - teñan a súa orixe no Cretácico inferior - da especie </w:t>
      </w:r>
      <w:r>
        <w:rPr>
          <w:rFonts w:ascii="Calibri" w:hAnsi="Calibri"/>
          <w:i/>
          <w:iCs/>
        </w:rPr>
        <w:t>Tanymastix stagnalis</w:t>
      </w:r>
      <w:r>
        <w:rPr>
          <w:rFonts w:ascii="Calibri" w:hAnsi="Calibri"/>
        </w:rPr>
        <w:t xml:space="preserve"> ou </w:t>
      </w:r>
      <w:r>
        <w:rPr>
          <w:rFonts w:ascii="Calibri" w:hAnsi="Calibri"/>
          <w:i/>
          <w:iCs/>
        </w:rPr>
        <w:t>Tanymastix</w:t>
      </w:r>
      <w:r>
        <w:rPr>
          <w:rFonts w:ascii="Calibri" w:hAnsi="Calibri"/>
        </w:rPr>
        <w:t xml:space="preserve"> </w:t>
      </w:r>
      <w:r>
        <w:rPr>
          <w:rFonts w:ascii="Calibri" w:hAnsi="Calibri"/>
          <w:i/>
          <w:iCs/>
        </w:rPr>
        <w:t xml:space="preserve">affinis </w:t>
      </w:r>
      <w:r>
        <w:rPr>
          <w:rFonts w:ascii="Calibri" w:hAnsi="Calibri"/>
        </w:rPr>
        <w:t>(existen dúbidas de identificación).</w:t>
      </w:r>
    </w:p>
    <w:p w14:paraId="294B2B42" w14:textId="77777777" w:rsidR="00DC153E" w:rsidRDefault="00DC153E" w:rsidP="00DC153E">
      <w:pPr>
        <w:pStyle w:val="Standard"/>
        <w:numPr>
          <w:ilvl w:val="0"/>
          <w:numId w:val="36"/>
        </w:numPr>
        <w:spacing w:before="120"/>
        <w:ind w:left="489" w:firstLine="0"/>
        <w:jc w:val="both"/>
        <w:textAlignment w:val="auto"/>
      </w:pPr>
      <w:r>
        <w:rPr>
          <w:rFonts w:ascii="Calibri" w:hAnsi="Calibri"/>
        </w:rPr>
        <w:t xml:space="preserve">Hábitats herbáceos especialmente atractivos para pequenas paseriformes e limícolas en paso migratorio, que seleccionan preferentemente estas pozas e os espazos abertos que as rodean para relizar as súas paradas de alimentación e descanso. É o caso de </w:t>
      </w:r>
      <w:r>
        <w:rPr>
          <w:rFonts w:ascii="Calibri" w:hAnsi="Calibri"/>
          <w:i/>
          <w:iCs/>
        </w:rPr>
        <w:t xml:space="preserve">Charadrius morinellus </w:t>
      </w:r>
      <w:r>
        <w:rPr>
          <w:rFonts w:ascii="Calibri" w:hAnsi="Calibri"/>
        </w:rPr>
        <w:t xml:space="preserve">e </w:t>
      </w:r>
      <w:r>
        <w:rPr>
          <w:rFonts w:ascii="Calibri" w:hAnsi="Calibri"/>
          <w:i/>
          <w:iCs/>
        </w:rPr>
        <w:t>Pluvialis apricaria</w:t>
      </w:r>
      <w:r>
        <w:rPr>
          <w:rFonts w:ascii="Calibri" w:hAnsi="Calibri"/>
        </w:rPr>
        <w:t>.</w:t>
      </w:r>
    </w:p>
    <w:p w14:paraId="43C759E5" w14:textId="77777777" w:rsidR="00DC153E" w:rsidRDefault="00DC153E" w:rsidP="00DC153E">
      <w:pPr>
        <w:pStyle w:val="Standard"/>
        <w:numPr>
          <w:ilvl w:val="0"/>
          <w:numId w:val="36"/>
        </w:numPr>
        <w:spacing w:before="120"/>
        <w:ind w:left="489" w:firstLine="0"/>
        <w:jc w:val="both"/>
        <w:textAlignment w:val="auto"/>
      </w:pPr>
      <w:r>
        <w:rPr>
          <w:rFonts w:ascii="Calibri" w:hAnsi="Calibri"/>
        </w:rPr>
        <w:t>Unha valiosa comunidade de anfibios, incluídos algúns deles no Catálogo Galego de Especies Ameazadas; outros, “</w:t>
      </w:r>
      <w:r>
        <w:rPr>
          <w:rFonts w:ascii="Calibri" w:hAnsi="Calibri"/>
          <w:i/>
          <w:iCs/>
        </w:rPr>
        <w:t>requiren unha protección estricta</w:t>
      </w:r>
      <w:r>
        <w:rPr>
          <w:rFonts w:ascii="Calibri" w:hAnsi="Calibri"/>
        </w:rPr>
        <w:t>” a nivel comunitario (Anexo IV da Directiva Hábitats). Estas e outras especies de anfibios reprodúcense nestas masas de auga en función do diferente hidroperíodo que presentan.</w:t>
      </w:r>
    </w:p>
    <w:p w14:paraId="51D074A4" w14:textId="77777777" w:rsidR="00DC153E" w:rsidRDefault="00DC153E" w:rsidP="00DC153E">
      <w:pPr>
        <w:pStyle w:val="Standard"/>
        <w:spacing w:before="120"/>
        <w:ind w:left="64"/>
        <w:jc w:val="both"/>
        <w:rPr>
          <w:rFonts w:ascii="Calibri" w:hAnsi="Calibri"/>
        </w:rPr>
      </w:pPr>
      <w:r>
        <w:rPr>
          <w:rFonts w:ascii="Calibri" w:hAnsi="Calibri"/>
        </w:rPr>
        <w:t>As infraestruturas proxectadas supoñen unha ameaza para o conxunto de charcas estacionais deste sector da serra da Groba, de modo que ningunha delas está libre de resultar afectada dalgún modo polas obras.</w:t>
      </w:r>
    </w:p>
    <w:p w14:paraId="4517983C" w14:textId="77777777" w:rsidR="00DC153E" w:rsidRDefault="00DC153E" w:rsidP="00DC153E">
      <w:pPr>
        <w:pStyle w:val="Standard"/>
        <w:spacing w:before="120"/>
        <w:ind w:left="64"/>
        <w:jc w:val="both"/>
      </w:pPr>
      <w:r>
        <w:rPr>
          <w:rFonts w:ascii="Calibri" w:hAnsi="Calibri"/>
        </w:rPr>
        <w:lastRenderedPageBreak/>
        <w:t xml:space="preserve">Suliñar que a apertura de novas pistas e a ampliación das existentes, así como as zanxas e explanacións previstas, modificarían os sistemas naturais de drenaxe e poderían afectar as augas freáticas, ameazando con privar dos necesarios aportes hídricos ás charcas existentes, diminuindo perigosamente o hidroperíodo das mesmas. O acurtamento do tempo de permanencia das augas  impediría a reprodución das especies de anfibios que presentan un período de desenrolo larvario máis longo, como </w:t>
      </w:r>
      <w:r>
        <w:rPr>
          <w:rFonts w:ascii="Calibri" w:hAnsi="Calibri"/>
          <w:i/>
          <w:iCs/>
        </w:rPr>
        <w:t>Pelobates cultripes</w:t>
      </w:r>
      <w:r>
        <w:rPr>
          <w:rFonts w:ascii="Calibri" w:hAnsi="Calibri"/>
        </w:rPr>
        <w:t>.</w:t>
      </w:r>
    </w:p>
    <w:p w14:paraId="35381BC6" w14:textId="77777777" w:rsidR="00DC153E" w:rsidRDefault="00DC153E" w:rsidP="00DC153E">
      <w:pPr>
        <w:pStyle w:val="Standard"/>
        <w:spacing w:before="120"/>
        <w:ind w:left="64"/>
        <w:jc w:val="both"/>
        <w:rPr>
          <w:rFonts w:ascii="Calibri" w:hAnsi="Calibri"/>
        </w:rPr>
      </w:pPr>
      <w:r>
        <w:rPr>
          <w:rFonts w:ascii="Calibri" w:hAnsi="Calibri"/>
        </w:rPr>
        <w:t xml:space="preserve">Por outro lado, un eventual incremento do volume de auga que se podería producir noutras pozas – como consecuencia da canalización das drenaxes - alteraría o réxime natural destes humidais, convertendo as pozas temporais que recibiran estes aportes extraordinarios en cáseque  permanentes. Deixarían de resultar aptas polo tanto para a reprodución das especies máis dependentes das condicións de estacionalidade, como o crustáceo </w:t>
      </w:r>
      <w:r>
        <w:rPr>
          <w:rFonts w:ascii="Calibri" w:hAnsi="Calibri"/>
          <w:i/>
          <w:iCs/>
        </w:rPr>
        <w:t>Tanymastix stagnalis</w:t>
      </w:r>
      <w:r>
        <w:rPr>
          <w:rFonts w:ascii="Calibri" w:hAnsi="Calibri"/>
        </w:rPr>
        <w:t xml:space="preserve"> e o sapo corredor (</w:t>
      </w:r>
      <w:r>
        <w:rPr>
          <w:rFonts w:ascii="Calibri" w:hAnsi="Calibri"/>
          <w:i/>
          <w:iCs/>
        </w:rPr>
        <w:t>Epidalea calamita</w:t>
      </w:r>
      <w:r>
        <w:rPr>
          <w:rFonts w:ascii="Calibri" w:hAnsi="Calibri"/>
        </w:rPr>
        <w:t>).</w:t>
      </w:r>
    </w:p>
    <w:p w14:paraId="448E5CF0" w14:textId="77777777" w:rsidR="00DC153E" w:rsidRDefault="00DC153E" w:rsidP="00DC153E">
      <w:pPr>
        <w:pBdr>
          <w:top w:val="single" w:sz="4" w:space="1" w:color="auto"/>
          <w:left w:val="single" w:sz="4" w:space="4" w:color="auto"/>
          <w:bottom w:val="single" w:sz="4" w:space="1" w:color="auto"/>
          <w:right w:val="single" w:sz="4" w:space="4" w:color="auto"/>
        </w:pBdr>
        <w:spacing w:before="120" w:after="0" w:line="240" w:lineRule="auto"/>
        <w:ind w:left="206"/>
        <w:jc w:val="both"/>
        <w:rPr>
          <w:rFonts w:cs="Calibri"/>
          <w:sz w:val="24"/>
          <w:szCs w:val="24"/>
          <w:lang w:eastAsia="es-ES"/>
        </w:rPr>
      </w:pPr>
      <w:r>
        <w:rPr>
          <w:rFonts w:cs="Calibri"/>
          <w:sz w:val="24"/>
          <w:szCs w:val="24"/>
          <w:lang w:eastAsia="es-ES"/>
        </w:rPr>
        <w:t>As obras propostas para o PE Torroña I non só alterarán este tipo de hábitats senon que a remoción de terras contribuirá con aportes de gran cantidade de sedimento que alterarán as características físicoquímicas do leito augas abaixo do curso fluvial.</w:t>
      </w:r>
    </w:p>
    <w:p w14:paraId="24902D25" w14:textId="77777777" w:rsidR="00DC153E" w:rsidRDefault="00DC153E" w:rsidP="00DC153E">
      <w:pPr>
        <w:pStyle w:val="Standard"/>
        <w:spacing w:before="120"/>
        <w:ind w:left="64"/>
        <w:jc w:val="both"/>
      </w:pPr>
      <w:r>
        <w:rPr>
          <w:rFonts w:ascii="Calibri" w:hAnsi="Calibri"/>
        </w:rPr>
        <w:t>Os cervunais (6230*) constitúen un dos valores máis destacados da serra da Groba, distribuíndose principalmente a través dos sistemas de turbeiras que existen nese espazo natural, medrando sobre solos húmidos de carácter turboso que non presentan encharcamento permanente.</w:t>
      </w:r>
    </w:p>
    <w:p w14:paraId="4A20A2A2" w14:textId="77777777" w:rsidR="00DC153E" w:rsidRDefault="00DC153E" w:rsidP="00DC153E">
      <w:pPr>
        <w:pStyle w:val="Standard"/>
        <w:spacing w:before="120"/>
        <w:ind w:left="64"/>
        <w:jc w:val="both"/>
      </w:pPr>
      <w:r>
        <w:rPr>
          <w:rFonts w:ascii="Calibri" w:hAnsi="Calibri"/>
        </w:rPr>
        <w:t xml:space="preserve">Na superficie afectada polo proxecto eólico Torroña I, os cervunais localízanse no contorno das pozas temporais de maior tamaño e nas marxes das canles de desaugue das mesmas, estando acompañada a especie diagnóstica desta comunidade, a gramínea </w:t>
      </w:r>
      <w:r>
        <w:rPr>
          <w:rFonts w:ascii="Calibri" w:hAnsi="Calibri"/>
          <w:i/>
          <w:iCs/>
        </w:rPr>
        <w:t>Nardus stricta</w:t>
      </w:r>
      <w:r>
        <w:rPr>
          <w:rFonts w:ascii="Calibri" w:hAnsi="Calibri"/>
        </w:rPr>
        <w:t xml:space="preserve"> ou cervún, polo xunco de montaña </w:t>
      </w:r>
      <w:r>
        <w:rPr>
          <w:rFonts w:ascii="Calibri" w:hAnsi="Calibri"/>
          <w:i/>
          <w:iCs/>
        </w:rPr>
        <w:t>Juncus squarrosus</w:t>
      </w:r>
      <w:r>
        <w:rPr>
          <w:rFonts w:ascii="Calibri" w:hAnsi="Calibri"/>
        </w:rPr>
        <w:t>, unha rareza montana moi difícil de encontrar a tan escasa distancia do mar.</w:t>
      </w:r>
    </w:p>
    <w:p w14:paraId="610BF18C" w14:textId="77777777" w:rsidR="00DC153E" w:rsidRDefault="00DC153E" w:rsidP="00DC153E">
      <w:pPr>
        <w:pStyle w:val="Standard"/>
        <w:spacing w:before="120"/>
        <w:ind w:left="64"/>
        <w:jc w:val="both"/>
      </w:pPr>
      <w:r>
        <w:rPr>
          <w:rFonts w:ascii="Calibri" w:hAnsi="Calibri"/>
        </w:rPr>
        <w:t>A superficie que resultaría afectada polas infraestruturas do proxecto eólico está ocupada, maioritariamente, por unha representación do hábitat de interese comunitario 4030 especialmente valiosa desde o ponto de vista da conservación. Se ben esta comunidade vexetal non ten a consideración de hábitat prioritario na Directiva 92/43/CE, presenta aquí sen embargo unhas características a nivel estrutural, de composición florística e de hábitat de numerosas especies animais de interese, que o fan especialmente valioso e merecente de protección.</w:t>
      </w:r>
    </w:p>
    <w:p w14:paraId="223E79C1" w14:textId="77777777" w:rsidR="00DC153E" w:rsidRDefault="00DC153E" w:rsidP="00DC153E">
      <w:pPr>
        <w:pStyle w:val="Standard"/>
        <w:spacing w:before="120"/>
        <w:ind w:left="64"/>
        <w:jc w:val="both"/>
        <w:rPr>
          <w:rFonts w:ascii="Calibri" w:hAnsi="Calibri"/>
        </w:rPr>
      </w:pPr>
      <w:r>
        <w:rPr>
          <w:rFonts w:ascii="Calibri" w:hAnsi="Calibri"/>
        </w:rPr>
        <w:t xml:space="preserve">Así, a subespecie de toxo arnal que predomina nesta área é </w:t>
      </w:r>
      <w:r>
        <w:rPr>
          <w:rFonts w:ascii="Calibri" w:hAnsi="Calibri"/>
          <w:i/>
          <w:iCs/>
        </w:rPr>
        <w:t>Ulex europaeus</w:t>
      </w:r>
      <w:r>
        <w:rPr>
          <w:rFonts w:ascii="Calibri" w:hAnsi="Calibri"/>
        </w:rPr>
        <w:t xml:space="preserve"> subsp. </w:t>
      </w:r>
      <w:r>
        <w:rPr>
          <w:rFonts w:ascii="Calibri" w:hAnsi="Calibri"/>
          <w:i/>
          <w:iCs/>
        </w:rPr>
        <w:t>latebracteatus</w:t>
      </w:r>
      <w:r>
        <w:rPr>
          <w:rFonts w:ascii="Calibri" w:hAnsi="Calibri"/>
        </w:rPr>
        <w:t>, endemismo que se distribúe por zonas litorais de Galiza e do norte de Portugal. Como é ben sabido, a biodiversidade non se manifesta só a nivel de comunidades ou especies, senón tamén a nivel intraespecífico, nas diversas subespecies e xenotipos locais que integran as diferentes especies.</w:t>
      </w:r>
    </w:p>
    <w:p w14:paraId="51D1982F" w14:textId="77777777" w:rsidR="00DC153E" w:rsidRDefault="00DC153E" w:rsidP="00DC153E">
      <w:pPr>
        <w:pStyle w:val="Standard"/>
        <w:spacing w:before="120"/>
        <w:ind w:left="64"/>
        <w:jc w:val="both"/>
      </w:pPr>
      <w:r>
        <w:rPr>
          <w:rFonts w:ascii="Calibri" w:hAnsi="Calibri"/>
        </w:rPr>
        <w:t>O proxecto eólico ameaza varias especies de carácter orófilo raras no litoral, que se encontran en dous hábitats de interese comunitario presentes nos afloramentos graníticos.</w:t>
      </w:r>
    </w:p>
    <w:p w14:paraId="70C83051" w14:textId="77777777" w:rsidR="00DC153E" w:rsidRDefault="00DC153E" w:rsidP="00DC153E">
      <w:pPr>
        <w:pStyle w:val="Standard"/>
        <w:spacing w:before="120"/>
        <w:ind w:left="64"/>
        <w:jc w:val="both"/>
      </w:pPr>
      <w:r>
        <w:rPr>
          <w:rFonts w:ascii="Calibri" w:hAnsi="Calibri"/>
        </w:rPr>
        <w:t>Nos lugares onde asoma a rocha granítica (que se concentran sobre todo nos relevos cuminais da serra e nas súas ladeiras) existen dous tipos de hábitats de interese comunitario relacionados cos afloramentos de rochas silíceas: P</w:t>
      </w:r>
      <w:r>
        <w:rPr>
          <w:rFonts w:ascii="Calibri" w:hAnsi="Calibri"/>
          <w:i/>
          <w:iCs/>
        </w:rPr>
        <w:t>endentes rochosas silíceas con vexetación casmofítica</w:t>
      </w:r>
      <w:r>
        <w:rPr>
          <w:rFonts w:ascii="Calibri" w:hAnsi="Calibri"/>
        </w:rPr>
        <w:t xml:space="preserve"> (código 8220) </w:t>
      </w:r>
      <w:bookmarkStart w:id="82" w:name="page1269R_mcid0"/>
      <w:bookmarkEnd w:id="82"/>
      <w:r>
        <w:rPr>
          <w:rFonts w:ascii="Calibri" w:hAnsi="Calibri"/>
        </w:rPr>
        <w:t xml:space="preserve">e </w:t>
      </w:r>
      <w:bookmarkStart w:id="83" w:name="_Hlk87978043"/>
      <w:r>
        <w:rPr>
          <w:rFonts w:ascii="Calibri" w:hAnsi="Calibri"/>
          <w:i/>
          <w:iCs/>
        </w:rPr>
        <w:t>Rochedos silíceos con vexetación pioneira do Sedo-Scleranthion ou do Sedo albi-Veronicion dillenii</w:t>
      </w:r>
      <w:r>
        <w:rPr>
          <w:rFonts w:ascii="Calibri" w:hAnsi="Calibri"/>
        </w:rPr>
        <w:t xml:space="preserve"> </w:t>
      </w:r>
      <w:bookmarkEnd w:id="83"/>
      <w:r>
        <w:rPr>
          <w:rFonts w:ascii="Calibri" w:hAnsi="Calibri"/>
        </w:rPr>
        <w:t>(código 8230).</w:t>
      </w:r>
    </w:p>
    <w:p w14:paraId="4AF28D2F" w14:textId="77777777" w:rsidR="00DC153E" w:rsidRDefault="00DC153E" w:rsidP="00DC153E">
      <w:pPr>
        <w:pStyle w:val="Default"/>
        <w:spacing w:before="120"/>
        <w:ind w:left="64"/>
        <w:jc w:val="both"/>
        <w:rPr>
          <w:color w:val="auto"/>
        </w:rPr>
      </w:pPr>
      <w:r>
        <w:rPr>
          <w:rFonts w:ascii="Calibri" w:hAnsi="Calibri"/>
          <w:color w:val="auto"/>
        </w:rPr>
        <w:t xml:space="preserve">Outras especies que tamén mostran un carácter montano nesta comarca e se encontran dentro do ámbito do proxecto son a gramínea </w:t>
      </w:r>
      <w:r>
        <w:rPr>
          <w:rFonts w:ascii="Calibri" w:hAnsi="Calibri"/>
          <w:i/>
          <w:iCs/>
          <w:color w:val="auto"/>
        </w:rPr>
        <w:t xml:space="preserve">Avenula sulcata </w:t>
      </w:r>
      <w:r>
        <w:rPr>
          <w:rFonts w:ascii="Calibri" w:hAnsi="Calibri"/>
          <w:color w:val="auto"/>
        </w:rPr>
        <w:t xml:space="preserve">e </w:t>
      </w:r>
      <w:r>
        <w:rPr>
          <w:rFonts w:ascii="Calibri" w:hAnsi="Calibri"/>
          <w:i/>
          <w:iCs/>
          <w:color w:val="auto"/>
        </w:rPr>
        <w:t>Saxifraga spathularis.</w:t>
      </w:r>
    </w:p>
    <w:p w14:paraId="561F245B" w14:textId="77777777" w:rsidR="00DC153E" w:rsidRDefault="00DC153E" w:rsidP="00DC153E">
      <w:pPr>
        <w:spacing w:before="120" w:line="240" w:lineRule="auto"/>
        <w:ind w:left="64"/>
        <w:jc w:val="both"/>
        <w:rPr>
          <w:sz w:val="24"/>
          <w:szCs w:val="24"/>
        </w:rPr>
      </w:pPr>
      <w:r>
        <w:rPr>
          <w:sz w:val="24"/>
          <w:szCs w:val="24"/>
        </w:rPr>
        <w:lastRenderedPageBreak/>
        <w:t>Amais disto, na valoración da afección a hábitats que figura no EsIA, non se calcula a superficie directamente afectada polas obras sobre o hábitat de interés comunitario 8220 “pendentes rochosas silíceas con vexetación casmofítica” (Directiva 92/43/CEE).</w:t>
      </w:r>
    </w:p>
    <w:p w14:paraId="03C2A090" w14:textId="77777777" w:rsidR="00DC153E" w:rsidRDefault="00DC153E" w:rsidP="00DC153E">
      <w:pPr>
        <w:pStyle w:val="Standard"/>
        <w:spacing w:before="120"/>
        <w:ind w:left="64"/>
        <w:jc w:val="both"/>
        <w:rPr>
          <w:rFonts w:ascii="Calibri" w:hAnsi="Calibri"/>
        </w:rPr>
      </w:pPr>
      <w:r>
        <w:rPr>
          <w:rFonts w:ascii="Calibri" w:hAnsi="Calibri"/>
        </w:rPr>
        <w:t>O proxecto eólico Torroña I atenta contra a necesaria ampliación da Rede Natura 2000, saboteando a implementación local da estratexia europea de conservación da biodiversidade, regulada a través da Directiva 92/43/CEE, relativa á conservación dos hábitats naturais e da fauna e flora silvestres.</w:t>
      </w:r>
    </w:p>
    <w:p w14:paraId="5C965E32" w14:textId="77777777" w:rsidR="00DC153E" w:rsidRDefault="00DC153E" w:rsidP="00DC153E">
      <w:pPr>
        <w:pStyle w:val="Standard"/>
        <w:spacing w:before="120"/>
        <w:ind w:left="64"/>
        <w:jc w:val="both"/>
      </w:pPr>
      <w:r>
        <w:rPr>
          <w:rFonts w:ascii="Calibri" w:hAnsi="Calibri"/>
        </w:rPr>
        <w:t xml:space="preserve">A paralización inxustificabel e inxustificada do proceso de ampliación da Rede Natura 2000 en Galiza o ano 2012, que incluía na súa proposta oficial a creación do novo LIC </w:t>
      </w:r>
      <w:r>
        <w:rPr>
          <w:rFonts w:ascii="Calibri" w:hAnsi="Calibri"/>
          <w:i/>
          <w:iCs/>
        </w:rPr>
        <w:t>Serra da Groba e Monte da Valga</w:t>
      </w:r>
      <w:r>
        <w:rPr>
          <w:rFonts w:ascii="Calibri" w:hAnsi="Calibri"/>
        </w:rPr>
        <w:t xml:space="preserve"> (ES1140018) e a conseguinte protección dunha parte da serra, é unha mostra descarnada da estratexia gobernamental de destrución programada do territorio, que subordina a protección da natureza aos intereses das grandes corporacións industriais e enerxéticas.</w:t>
      </w:r>
    </w:p>
    <w:p w14:paraId="0FA8929D" w14:textId="77777777" w:rsidR="00DC153E" w:rsidRDefault="00DC153E" w:rsidP="00DC153E">
      <w:pPr>
        <w:pStyle w:val="Standard"/>
        <w:spacing w:before="120"/>
        <w:ind w:left="64"/>
        <w:jc w:val="both"/>
      </w:pPr>
      <w:r>
        <w:rPr>
          <w:rFonts w:ascii="Calibri" w:hAnsi="Calibri"/>
        </w:rPr>
        <w:t>A protección dos sistemas de turbeiras, carrasqueiras húmidas atlánticas e cervunais da serra da Groba, hábitats de carácter prioritario ou insuficientemente representados na (exígua) Rede Natura 2000 galega, resultaría frustrada por un proxecto de enorme impacto ambiental que privaría a esta serra dalgúns dos seus valores máis destacados, e afectaría a coherencia dun futuro espazo natural protexido, que vería recortadas ou altamente modificadas as súas cotas de maior altitude. Cotas que, entre outras funcións, deberían servir como corredor ecolóxico e eixo vertebrador da serra.</w:t>
      </w:r>
    </w:p>
    <w:p w14:paraId="510D3A78" w14:textId="77777777" w:rsidR="00DC153E" w:rsidRDefault="00DC153E" w:rsidP="00DC153E">
      <w:pPr>
        <w:pBdr>
          <w:top w:val="single" w:sz="4" w:space="1" w:color="auto"/>
          <w:left w:val="single" w:sz="4" w:space="4" w:color="auto"/>
          <w:bottom w:val="single" w:sz="4" w:space="1" w:color="auto"/>
          <w:right w:val="single" w:sz="4" w:space="4" w:color="auto"/>
        </w:pBdr>
        <w:spacing w:before="120" w:after="0" w:line="240" w:lineRule="auto"/>
        <w:ind w:left="64"/>
        <w:jc w:val="both"/>
        <w:rPr>
          <w:sz w:val="24"/>
          <w:szCs w:val="24"/>
        </w:rPr>
      </w:pPr>
      <w:r>
        <w:rPr>
          <w:sz w:val="24"/>
          <w:szCs w:val="24"/>
        </w:rPr>
        <w:t xml:space="preserve">O PE Torroña I non só provocará a degradación irreversible destes hábitats senon que </w:t>
      </w:r>
      <w:r>
        <w:rPr>
          <w:b/>
          <w:bCs/>
          <w:sz w:val="24"/>
          <w:szCs w:val="24"/>
        </w:rPr>
        <w:t>imposibilitará a súa futura conservación e protección incluidas dentro da rede de Espazos de Rede Natura 2000 de Galicia.</w:t>
      </w:r>
    </w:p>
    <w:p w14:paraId="219353FA" w14:textId="77777777" w:rsidR="006F212D" w:rsidRDefault="006F212D" w:rsidP="006F212D">
      <w:pPr>
        <w:spacing w:after="0" w:line="240" w:lineRule="auto"/>
        <w:jc w:val="both"/>
        <w:rPr>
          <w:rStyle w:val="Hipervnculo"/>
          <w:rFonts w:cstheme="minorHAnsi"/>
          <w:color w:val="000000" w:themeColor="text1"/>
          <w:sz w:val="24"/>
          <w:szCs w:val="24"/>
          <w:u w:val="none"/>
        </w:rPr>
      </w:pPr>
    </w:p>
    <w:p w14:paraId="5559D590" w14:textId="77777777" w:rsidR="00AE5A25" w:rsidRPr="00AE5A25" w:rsidRDefault="00AE5A25" w:rsidP="00AE5A25">
      <w:pPr>
        <w:pStyle w:val="Prrafodelista"/>
        <w:numPr>
          <w:ilvl w:val="0"/>
          <w:numId w:val="11"/>
        </w:numPr>
        <w:shd w:val="clear" w:color="auto" w:fill="C6D9F1"/>
        <w:autoSpaceDE w:val="0"/>
        <w:autoSpaceDN w:val="0"/>
        <w:spacing w:before="120"/>
        <w:ind w:left="1843" w:hanging="1843"/>
        <w:jc w:val="both"/>
        <w:outlineLvl w:val="0"/>
        <w:rPr>
          <w:b/>
          <w:bCs/>
          <w:vanish/>
          <w:color w:val="000000"/>
          <w:sz w:val="24"/>
          <w:szCs w:val="24"/>
        </w:rPr>
      </w:pPr>
      <w:bookmarkStart w:id="84" w:name="_Toc132508909"/>
      <w:bookmarkStart w:id="85" w:name="_Toc132510378"/>
      <w:bookmarkStart w:id="86" w:name="_Toc132510496"/>
      <w:bookmarkStart w:id="87" w:name="_Toc132510611"/>
      <w:bookmarkStart w:id="88" w:name="_Toc132510856"/>
      <w:bookmarkStart w:id="89" w:name="_Toc132510969"/>
      <w:bookmarkStart w:id="90" w:name="_Toc87980530"/>
      <w:bookmarkStart w:id="91" w:name="_Toc88004911"/>
      <w:bookmarkEnd w:id="84"/>
      <w:bookmarkEnd w:id="85"/>
      <w:bookmarkEnd w:id="86"/>
      <w:bookmarkEnd w:id="87"/>
      <w:bookmarkEnd w:id="88"/>
      <w:bookmarkEnd w:id="89"/>
    </w:p>
    <w:p w14:paraId="56555E72" w14:textId="77777777" w:rsidR="00AE5A25" w:rsidRPr="00AE5A25" w:rsidRDefault="00AE5A25" w:rsidP="00AE5A25">
      <w:pPr>
        <w:pStyle w:val="Prrafodelista"/>
        <w:numPr>
          <w:ilvl w:val="0"/>
          <w:numId w:val="11"/>
        </w:numPr>
        <w:shd w:val="clear" w:color="auto" w:fill="C6D9F1"/>
        <w:autoSpaceDE w:val="0"/>
        <w:autoSpaceDN w:val="0"/>
        <w:spacing w:before="120"/>
        <w:ind w:left="1843" w:hanging="1843"/>
        <w:jc w:val="both"/>
        <w:outlineLvl w:val="0"/>
        <w:rPr>
          <w:b/>
          <w:bCs/>
          <w:vanish/>
          <w:color w:val="000000"/>
          <w:sz w:val="24"/>
          <w:szCs w:val="24"/>
        </w:rPr>
      </w:pPr>
      <w:bookmarkStart w:id="92" w:name="_Toc132508910"/>
      <w:bookmarkStart w:id="93" w:name="_Toc132510379"/>
      <w:bookmarkStart w:id="94" w:name="_Toc132510497"/>
      <w:bookmarkStart w:id="95" w:name="_Toc132510612"/>
      <w:bookmarkStart w:id="96" w:name="_Toc132510857"/>
      <w:bookmarkStart w:id="97" w:name="_Toc132510970"/>
      <w:bookmarkEnd w:id="92"/>
      <w:bookmarkEnd w:id="93"/>
      <w:bookmarkEnd w:id="94"/>
      <w:bookmarkEnd w:id="95"/>
      <w:bookmarkEnd w:id="96"/>
      <w:bookmarkEnd w:id="97"/>
    </w:p>
    <w:p w14:paraId="5C273EE2" w14:textId="77777777" w:rsidR="00AE5A25" w:rsidRPr="00AE5A25" w:rsidRDefault="00AE5A25" w:rsidP="00AE5A25">
      <w:pPr>
        <w:pStyle w:val="Prrafodelista"/>
        <w:numPr>
          <w:ilvl w:val="0"/>
          <w:numId w:val="11"/>
        </w:numPr>
        <w:shd w:val="clear" w:color="auto" w:fill="C6D9F1"/>
        <w:autoSpaceDE w:val="0"/>
        <w:autoSpaceDN w:val="0"/>
        <w:spacing w:before="120"/>
        <w:ind w:left="1843" w:hanging="1843"/>
        <w:jc w:val="both"/>
        <w:outlineLvl w:val="0"/>
        <w:rPr>
          <w:b/>
          <w:bCs/>
          <w:vanish/>
          <w:color w:val="000000"/>
          <w:sz w:val="24"/>
          <w:szCs w:val="24"/>
        </w:rPr>
      </w:pPr>
      <w:bookmarkStart w:id="98" w:name="_Toc132508911"/>
      <w:bookmarkStart w:id="99" w:name="_Toc132510380"/>
      <w:bookmarkStart w:id="100" w:name="_Toc132510498"/>
      <w:bookmarkStart w:id="101" w:name="_Toc132510613"/>
      <w:bookmarkStart w:id="102" w:name="_Toc132510858"/>
      <w:bookmarkStart w:id="103" w:name="_Toc132510971"/>
      <w:bookmarkEnd w:id="98"/>
      <w:bookmarkEnd w:id="99"/>
      <w:bookmarkEnd w:id="100"/>
      <w:bookmarkEnd w:id="101"/>
      <w:bookmarkEnd w:id="102"/>
      <w:bookmarkEnd w:id="103"/>
    </w:p>
    <w:p w14:paraId="7FA41B53" w14:textId="77777777" w:rsidR="00AE5A25" w:rsidRPr="00AE5A25" w:rsidRDefault="00AE5A25" w:rsidP="00AE5A25">
      <w:pPr>
        <w:pStyle w:val="Prrafodelista"/>
        <w:numPr>
          <w:ilvl w:val="0"/>
          <w:numId w:val="11"/>
        </w:numPr>
        <w:shd w:val="clear" w:color="auto" w:fill="C6D9F1"/>
        <w:autoSpaceDE w:val="0"/>
        <w:autoSpaceDN w:val="0"/>
        <w:spacing w:before="120"/>
        <w:ind w:left="1843" w:hanging="1843"/>
        <w:jc w:val="both"/>
        <w:outlineLvl w:val="0"/>
        <w:rPr>
          <w:b/>
          <w:bCs/>
          <w:vanish/>
          <w:color w:val="000000"/>
          <w:sz w:val="24"/>
          <w:szCs w:val="24"/>
        </w:rPr>
      </w:pPr>
      <w:bookmarkStart w:id="104" w:name="_Toc132508912"/>
      <w:bookmarkStart w:id="105" w:name="_Toc132510381"/>
      <w:bookmarkStart w:id="106" w:name="_Toc132510499"/>
      <w:bookmarkStart w:id="107" w:name="_Toc132510614"/>
      <w:bookmarkStart w:id="108" w:name="_Toc132510859"/>
      <w:bookmarkStart w:id="109" w:name="_Toc132510972"/>
      <w:bookmarkEnd w:id="104"/>
      <w:bookmarkEnd w:id="105"/>
      <w:bookmarkEnd w:id="106"/>
      <w:bookmarkEnd w:id="107"/>
      <w:bookmarkEnd w:id="108"/>
      <w:bookmarkEnd w:id="109"/>
    </w:p>
    <w:p w14:paraId="3C423484" w14:textId="77777777" w:rsidR="00AE5A25" w:rsidRPr="00AE5A25" w:rsidRDefault="00AE5A25" w:rsidP="00AE5A25">
      <w:pPr>
        <w:pStyle w:val="Prrafodelista"/>
        <w:numPr>
          <w:ilvl w:val="0"/>
          <w:numId w:val="11"/>
        </w:numPr>
        <w:shd w:val="clear" w:color="auto" w:fill="C6D9F1"/>
        <w:autoSpaceDE w:val="0"/>
        <w:autoSpaceDN w:val="0"/>
        <w:spacing w:before="120"/>
        <w:ind w:left="1843" w:hanging="1843"/>
        <w:jc w:val="both"/>
        <w:outlineLvl w:val="0"/>
        <w:rPr>
          <w:b/>
          <w:bCs/>
          <w:vanish/>
          <w:color w:val="000000"/>
          <w:sz w:val="24"/>
          <w:szCs w:val="24"/>
        </w:rPr>
      </w:pPr>
      <w:bookmarkStart w:id="110" w:name="_Toc132508913"/>
      <w:bookmarkStart w:id="111" w:name="_Toc132510382"/>
      <w:bookmarkStart w:id="112" w:name="_Toc132510500"/>
      <w:bookmarkStart w:id="113" w:name="_Toc132510615"/>
      <w:bookmarkStart w:id="114" w:name="_Toc132510860"/>
      <w:bookmarkStart w:id="115" w:name="_Toc132510973"/>
      <w:bookmarkEnd w:id="110"/>
      <w:bookmarkEnd w:id="111"/>
      <w:bookmarkEnd w:id="112"/>
      <w:bookmarkEnd w:id="113"/>
      <w:bookmarkEnd w:id="114"/>
      <w:bookmarkEnd w:id="115"/>
    </w:p>
    <w:p w14:paraId="4A646D41" w14:textId="77777777" w:rsidR="00AE5A25" w:rsidRPr="00AE5A25" w:rsidRDefault="00AE5A25" w:rsidP="00AE5A25">
      <w:pPr>
        <w:pStyle w:val="Prrafodelista"/>
        <w:numPr>
          <w:ilvl w:val="0"/>
          <w:numId w:val="11"/>
        </w:numPr>
        <w:shd w:val="clear" w:color="auto" w:fill="C6D9F1"/>
        <w:autoSpaceDE w:val="0"/>
        <w:autoSpaceDN w:val="0"/>
        <w:spacing w:before="120"/>
        <w:ind w:left="1843" w:hanging="1843"/>
        <w:jc w:val="both"/>
        <w:outlineLvl w:val="0"/>
        <w:rPr>
          <w:b/>
          <w:bCs/>
          <w:vanish/>
          <w:color w:val="000000"/>
          <w:sz w:val="24"/>
          <w:szCs w:val="24"/>
        </w:rPr>
      </w:pPr>
      <w:bookmarkStart w:id="116" w:name="_Toc132508914"/>
      <w:bookmarkStart w:id="117" w:name="_Toc132510383"/>
      <w:bookmarkStart w:id="118" w:name="_Toc132510501"/>
      <w:bookmarkStart w:id="119" w:name="_Toc132510616"/>
      <w:bookmarkStart w:id="120" w:name="_Toc132510861"/>
      <w:bookmarkStart w:id="121" w:name="_Toc132510974"/>
      <w:bookmarkEnd w:id="116"/>
      <w:bookmarkEnd w:id="117"/>
      <w:bookmarkEnd w:id="118"/>
      <w:bookmarkEnd w:id="119"/>
      <w:bookmarkEnd w:id="120"/>
      <w:bookmarkEnd w:id="121"/>
    </w:p>
    <w:p w14:paraId="2D2F4264" w14:textId="77777777" w:rsidR="00AE5A25" w:rsidRPr="00AE5A25" w:rsidRDefault="00AE5A25" w:rsidP="00AE5A25">
      <w:pPr>
        <w:pStyle w:val="Prrafodelista"/>
        <w:numPr>
          <w:ilvl w:val="0"/>
          <w:numId w:val="11"/>
        </w:numPr>
        <w:shd w:val="clear" w:color="auto" w:fill="C6D9F1"/>
        <w:autoSpaceDE w:val="0"/>
        <w:autoSpaceDN w:val="0"/>
        <w:spacing w:before="120"/>
        <w:ind w:left="1843" w:hanging="1843"/>
        <w:jc w:val="both"/>
        <w:outlineLvl w:val="0"/>
        <w:rPr>
          <w:b/>
          <w:bCs/>
          <w:vanish/>
          <w:color w:val="000000"/>
          <w:sz w:val="24"/>
          <w:szCs w:val="24"/>
        </w:rPr>
      </w:pPr>
      <w:bookmarkStart w:id="122" w:name="_Toc132508915"/>
      <w:bookmarkStart w:id="123" w:name="_Toc132510384"/>
      <w:bookmarkStart w:id="124" w:name="_Toc132510502"/>
      <w:bookmarkStart w:id="125" w:name="_Toc132510617"/>
      <w:bookmarkStart w:id="126" w:name="_Toc132510862"/>
      <w:bookmarkStart w:id="127" w:name="_Toc132510975"/>
      <w:bookmarkEnd w:id="122"/>
      <w:bookmarkEnd w:id="123"/>
      <w:bookmarkEnd w:id="124"/>
      <w:bookmarkEnd w:id="125"/>
      <w:bookmarkEnd w:id="126"/>
      <w:bookmarkEnd w:id="127"/>
    </w:p>
    <w:p w14:paraId="30AC4019" w14:textId="77777777" w:rsidR="00AE5A25" w:rsidRPr="00AE5A25" w:rsidRDefault="00AE5A25" w:rsidP="00AE5A25">
      <w:pPr>
        <w:pStyle w:val="Prrafodelista"/>
        <w:numPr>
          <w:ilvl w:val="0"/>
          <w:numId w:val="11"/>
        </w:numPr>
        <w:shd w:val="clear" w:color="auto" w:fill="C6D9F1"/>
        <w:autoSpaceDE w:val="0"/>
        <w:autoSpaceDN w:val="0"/>
        <w:spacing w:before="120"/>
        <w:ind w:left="1843" w:hanging="1843"/>
        <w:jc w:val="both"/>
        <w:outlineLvl w:val="0"/>
        <w:rPr>
          <w:b/>
          <w:bCs/>
          <w:vanish/>
          <w:color w:val="000000"/>
          <w:sz w:val="24"/>
          <w:szCs w:val="24"/>
        </w:rPr>
      </w:pPr>
      <w:bookmarkStart w:id="128" w:name="_Toc132508916"/>
      <w:bookmarkStart w:id="129" w:name="_Toc132510385"/>
      <w:bookmarkStart w:id="130" w:name="_Toc132510503"/>
      <w:bookmarkStart w:id="131" w:name="_Toc132510618"/>
      <w:bookmarkStart w:id="132" w:name="_Toc132510863"/>
      <w:bookmarkStart w:id="133" w:name="_Toc132510976"/>
      <w:bookmarkEnd w:id="128"/>
      <w:bookmarkEnd w:id="129"/>
      <w:bookmarkEnd w:id="130"/>
      <w:bookmarkEnd w:id="131"/>
      <w:bookmarkEnd w:id="132"/>
      <w:bookmarkEnd w:id="133"/>
    </w:p>
    <w:p w14:paraId="071AE05F" w14:textId="77777777" w:rsidR="00AE5A25" w:rsidRPr="00AE5A25" w:rsidRDefault="00AE5A25" w:rsidP="00AE5A25">
      <w:pPr>
        <w:pStyle w:val="Prrafodelista"/>
        <w:numPr>
          <w:ilvl w:val="0"/>
          <w:numId w:val="11"/>
        </w:numPr>
        <w:shd w:val="clear" w:color="auto" w:fill="C6D9F1"/>
        <w:autoSpaceDE w:val="0"/>
        <w:autoSpaceDN w:val="0"/>
        <w:spacing w:before="120"/>
        <w:ind w:left="1843" w:hanging="1843"/>
        <w:jc w:val="both"/>
        <w:outlineLvl w:val="0"/>
        <w:rPr>
          <w:b/>
          <w:bCs/>
          <w:vanish/>
          <w:color w:val="000000"/>
          <w:sz w:val="24"/>
          <w:szCs w:val="24"/>
        </w:rPr>
      </w:pPr>
      <w:bookmarkStart w:id="134" w:name="_Toc132508917"/>
      <w:bookmarkStart w:id="135" w:name="_Toc132510386"/>
      <w:bookmarkStart w:id="136" w:name="_Toc132510504"/>
      <w:bookmarkStart w:id="137" w:name="_Toc132510619"/>
      <w:bookmarkStart w:id="138" w:name="_Toc132510864"/>
      <w:bookmarkStart w:id="139" w:name="_Toc132510977"/>
      <w:bookmarkEnd w:id="134"/>
      <w:bookmarkEnd w:id="135"/>
      <w:bookmarkEnd w:id="136"/>
      <w:bookmarkEnd w:id="137"/>
      <w:bookmarkEnd w:id="138"/>
      <w:bookmarkEnd w:id="139"/>
    </w:p>
    <w:p w14:paraId="7D546112" w14:textId="77777777" w:rsidR="00AE5A25" w:rsidRPr="00AE5A25" w:rsidRDefault="00AE5A25" w:rsidP="00AE5A25">
      <w:pPr>
        <w:pStyle w:val="Prrafodelista"/>
        <w:numPr>
          <w:ilvl w:val="0"/>
          <w:numId w:val="11"/>
        </w:numPr>
        <w:shd w:val="clear" w:color="auto" w:fill="C6D9F1"/>
        <w:autoSpaceDE w:val="0"/>
        <w:autoSpaceDN w:val="0"/>
        <w:spacing w:before="120"/>
        <w:ind w:left="1843" w:hanging="1843"/>
        <w:jc w:val="both"/>
        <w:outlineLvl w:val="0"/>
        <w:rPr>
          <w:b/>
          <w:bCs/>
          <w:vanish/>
          <w:color w:val="000000"/>
          <w:sz w:val="24"/>
          <w:szCs w:val="24"/>
        </w:rPr>
      </w:pPr>
      <w:bookmarkStart w:id="140" w:name="_Toc132508918"/>
      <w:bookmarkStart w:id="141" w:name="_Toc132510387"/>
      <w:bookmarkStart w:id="142" w:name="_Toc132510505"/>
      <w:bookmarkStart w:id="143" w:name="_Toc132510620"/>
      <w:bookmarkStart w:id="144" w:name="_Toc132510865"/>
      <w:bookmarkStart w:id="145" w:name="_Toc132510978"/>
      <w:bookmarkEnd w:id="140"/>
      <w:bookmarkEnd w:id="141"/>
      <w:bookmarkEnd w:id="142"/>
      <w:bookmarkEnd w:id="143"/>
      <w:bookmarkEnd w:id="144"/>
      <w:bookmarkEnd w:id="145"/>
    </w:p>
    <w:p w14:paraId="5828A68B" w14:textId="77777777" w:rsidR="00AE5A25" w:rsidRPr="00AE5A25" w:rsidRDefault="00AE5A25" w:rsidP="00AE5A25">
      <w:pPr>
        <w:pStyle w:val="Prrafodelista"/>
        <w:numPr>
          <w:ilvl w:val="0"/>
          <w:numId w:val="11"/>
        </w:numPr>
        <w:shd w:val="clear" w:color="auto" w:fill="C6D9F1"/>
        <w:autoSpaceDE w:val="0"/>
        <w:autoSpaceDN w:val="0"/>
        <w:spacing w:before="120"/>
        <w:ind w:left="1843" w:hanging="1843"/>
        <w:jc w:val="both"/>
        <w:outlineLvl w:val="0"/>
        <w:rPr>
          <w:b/>
          <w:bCs/>
          <w:vanish/>
          <w:color w:val="000000"/>
          <w:sz w:val="24"/>
          <w:szCs w:val="24"/>
        </w:rPr>
      </w:pPr>
      <w:bookmarkStart w:id="146" w:name="_Toc132508919"/>
      <w:bookmarkStart w:id="147" w:name="_Toc132510388"/>
      <w:bookmarkStart w:id="148" w:name="_Toc132510506"/>
      <w:bookmarkStart w:id="149" w:name="_Toc132510621"/>
      <w:bookmarkStart w:id="150" w:name="_Toc132510866"/>
      <w:bookmarkStart w:id="151" w:name="_Toc132510979"/>
      <w:bookmarkEnd w:id="146"/>
      <w:bookmarkEnd w:id="147"/>
      <w:bookmarkEnd w:id="148"/>
      <w:bookmarkEnd w:id="149"/>
      <w:bookmarkEnd w:id="150"/>
      <w:bookmarkEnd w:id="151"/>
    </w:p>
    <w:p w14:paraId="0F006E9C" w14:textId="77777777" w:rsidR="00AE5A25" w:rsidRPr="00AE5A25" w:rsidRDefault="00AE5A25" w:rsidP="00AE5A25">
      <w:pPr>
        <w:pStyle w:val="Prrafodelista"/>
        <w:numPr>
          <w:ilvl w:val="0"/>
          <w:numId w:val="11"/>
        </w:numPr>
        <w:shd w:val="clear" w:color="auto" w:fill="C6D9F1"/>
        <w:autoSpaceDE w:val="0"/>
        <w:autoSpaceDN w:val="0"/>
        <w:spacing w:before="120"/>
        <w:ind w:left="1843" w:hanging="1843"/>
        <w:jc w:val="both"/>
        <w:outlineLvl w:val="0"/>
        <w:rPr>
          <w:b/>
          <w:bCs/>
          <w:vanish/>
          <w:color w:val="000000"/>
          <w:sz w:val="24"/>
          <w:szCs w:val="24"/>
        </w:rPr>
      </w:pPr>
      <w:bookmarkStart w:id="152" w:name="_Toc132508920"/>
      <w:bookmarkStart w:id="153" w:name="_Toc132510389"/>
      <w:bookmarkStart w:id="154" w:name="_Toc132510507"/>
      <w:bookmarkStart w:id="155" w:name="_Toc132510622"/>
      <w:bookmarkStart w:id="156" w:name="_Toc132510867"/>
      <w:bookmarkStart w:id="157" w:name="_Toc132510980"/>
      <w:bookmarkEnd w:id="152"/>
      <w:bookmarkEnd w:id="153"/>
      <w:bookmarkEnd w:id="154"/>
      <w:bookmarkEnd w:id="155"/>
      <w:bookmarkEnd w:id="156"/>
      <w:bookmarkEnd w:id="157"/>
    </w:p>
    <w:p w14:paraId="7DDA3827" w14:textId="77777777" w:rsidR="00AE5A25" w:rsidRPr="00AE5A25" w:rsidRDefault="00AE5A25" w:rsidP="00AE5A25">
      <w:pPr>
        <w:pStyle w:val="Prrafodelista"/>
        <w:numPr>
          <w:ilvl w:val="0"/>
          <w:numId w:val="11"/>
        </w:numPr>
        <w:shd w:val="clear" w:color="auto" w:fill="C6D9F1"/>
        <w:autoSpaceDE w:val="0"/>
        <w:autoSpaceDN w:val="0"/>
        <w:spacing w:before="120"/>
        <w:ind w:left="1843" w:hanging="1843"/>
        <w:jc w:val="both"/>
        <w:outlineLvl w:val="0"/>
        <w:rPr>
          <w:b/>
          <w:bCs/>
          <w:vanish/>
          <w:color w:val="000000"/>
          <w:sz w:val="24"/>
          <w:szCs w:val="24"/>
        </w:rPr>
      </w:pPr>
      <w:bookmarkStart w:id="158" w:name="_Toc132508921"/>
      <w:bookmarkStart w:id="159" w:name="_Toc132510390"/>
      <w:bookmarkStart w:id="160" w:name="_Toc132510508"/>
      <w:bookmarkStart w:id="161" w:name="_Toc132510623"/>
      <w:bookmarkStart w:id="162" w:name="_Toc132510868"/>
      <w:bookmarkStart w:id="163" w:name="_Toc132510981"/>
      <w:bookmarkEnd w:id="158"/>
      <w:bookmarkEnd w:id="159"/>
      <w:bookmarkEnd w:id="160"/>
      <w:bookmarkEnd w:id="161"/>
      <w:bookmarkEnd w:id="162"/>
      <w:bookmarkEnd w:id="163"/>
    </w:p>
    <w:p w14:paraId="338159C1" w14:textId="1EA011DE" w:rsidR="006F212D" w:rsidRPr="003A3EF0" w:rsidRDefault="006F212D" w:rsidP="00AE5A25">
      <w:pPr>
        <w:pStyle w:val="Default"/>
        <w:numPr>
          <w:ilvl w:val="0"/>
          <w:numId w:val="11"/>
        </w:numPr>
        <w:shd w:val="clear" w:color="auto" w:fill="C6D9F1"/>
        <w:spacing w:before="120"/>
        <w:ind w:left="1843" w:hanging="1843"/>
        <w:jc w:val="both"/>
        <w:outlineLvl w:val="0"/>
        <w:rPr>
          <w:rFonts w:ascii="Calibri" w:hAnsi="Calibri" w:cs="Calibri"/>
          <w:b/>
          <w:bCs/>
        </w:rPr>
      </w:pPr>
      <w:bookmarkStart w:id="164" w:name="_Toc132510982"/>
      <w:r w:rsidRPr="003A3EF0">
        <w:rPr>
          <w:rFonts w:ascii="Calibri" w:hAnsi="Calibri" w:cs="Calibri"/>
          <w:b/>
          <w:bCs/>
        </w:rPr>
        <w:t>Deficiente avaliación sobre os efectos á fauna (excepto aves e quirópteros).</w:t>
      </w:r>
      <w:bookmarkEnd w:id="90"/>
      <w:bookmarkEnd w:id="91"/>
      <w:bookmarkEnd w:id="164"/>
    </w:p>
    <w:p w14:paraId="045D1676" w14:textId="497A0ADA" w:rsidR="006F212D" w:rsidRDefault="006F212D" w:rsidP="006F212D">
      <w:pPr>
        <w:spacing w:before="120" w:after="0" w:line="240" w:lineRule="auto"/>
        <w:jc w:val="both"/>
        <w:rPr>
          <w:sz w:val="24"/>
          <w:szCs w:val="24"/>
        </w:rPr>
      </w:pPr>
      <w:r w:rsidRPr="00501ECF">
        <w:rPr>
          <w:sz w:val="24"/>
          <w:szCs w:val="24"/>
        </w:rPr>
        <w:t xml:space="preserve">Non se identifica a presencia na zona afectada de especies de </w:t>
      </w:r>
      <w:r w:rsidRPr="00501ECF">
        <w:rPr>
          <w:b/>
          <w:bCs/>
          <w:sz w:val="24"/>
          <w:szCs w:val="24"/>
        </w:rPr>
        <w:t>mamíferos</w:t>
      </w:r>
      <w:r w:rsidRPr="00501ECF">
        <w:rPr>
          <w:sz w:val="24"/>
          <w:szCs w:val="24"/>
        </w:rPr>
        <w:t xml:space="preserve"> sobre os que o PE </w:t>
      </w:r>
      <w:r>
        <w:rPr>
          <w:sz w:val="24"/>
          <w:szCs w:val="24"/>
        </w:rPr>
        <w:t>Torroña I</w:t>
      </w:r>
      <w:r w:rsidRPr="00501ECF">
        <w:rPr>
          <w:sz w:val="24"/>
          <w:szCs w:val="24"/>
        </w:rPr>
        <w:t xml:space="preserve"> podería ter algún efecto. Non se inclúe no inventario de mamíferos </w:t>
      </w:r>
      <w:r w:rsidRPr="00501ECF">
        <w:rPr>
          <w:i/>
          <w:iCs/>
          <w:sz w:val="24"/>
          <w:szCs w:val="24"/>
        </w:rPr>
        <w:t>Meles meles</w:t>
      </w:r>
      <w:r w:rsidRPr="00501ECF">
        <w:rPr>
          <w:sz w:val="24"/>
          <w:szCs w:val="24"/>
        </w:rPr>
        <w:t xml:space="preserve">, </w:t>
      </w:r>
      <w:r w:rsidRPr="00501ECF">
        <w:rPr>
          <w:i/>
          <w:iCs/>
          <w:sz w:val="24"/>
          <w:szCs w:val="24"/>
        </w:rPr>
        <w:t>Martes foina</w:t>
      </w:r>
      <w:r w:rsidRPr="00501ECF">
        <w:rPr>
          <w:sz w:val="24"/>
          <w:szCs w:val="24"/>
        </w:rPr>
        <w:t xml:space="preserve">, </w:t>
      </w:r>
      <w:r w:rsidRPr="00501ECF">
        <w:rPr>
          <w:i/>
          <w:iCs/>
          <w:sz w:val="24"/>
          <w:szCs w:val="24"/>
        </w:rPr>
        <w:t>Lepus europaeus</w:t>
      </w:r>
      <w:r>
        <w:rPr>
          <w:sz w:val="24"/>
          <w:szCs w:val="24"/>
        </w:rPr>
        <w:t xml:space="preserve">, </w:t>
      </w:r>
      <w:r w:rsidRPr="00501ECF">
        <w:rPr>
          <w:i/>
          <w:iCs/>
          <w:sz w:val="24"/>
          <w:szCs w:val="24"/>
        </w:rPr>
        <w:t>Vulpes vulpes</w:t>
      </w:r>
      <w:r>
        <w:rPr>
          <w:i/>
          <w:iCs/>
          <w:sz w:val="24"/>
          <w:szCs w:val="24"/>
        </w:rPr>
        <w:t xml:space="preserve"> </w:t>
      </w:r>
      <w:r w:rsidRPr="00AD1320">
        <w:rPr>
          <w:sz w:val="24"/>
          <w:szCs w:val="24"/>
        </w:rPr>
        <w:t>ou</w:t>
      </w:r>
      <w:r>
        <w:rPr>
          <w:i/>
          <w:iCs/>
          <w:sz w:val="24"/>
          <w:szCs w:val="24"/>
        </w:rPr>
        <w:t xml:space="preserve"> </w:t>
      </w:r>
      <w:r w:rsidRPr="00AD1320">
        <w:rPr>
          <w:i/>
          <w:iCs/>
        </w:rPr>
        <w:t xml:space="preserve">Lepus granatensis </w:t>
      </w:r>
      <w:r w:rsidRPr="00AD1320">
        <w:t>subsp</w:t>
      </w:r>
      <w:r w:rsidRPr="00AD1320">
        <w:rPr>
          <w:i/>
          <w:iCs/>
        </w:rPr>
        <w:t>. gallaecicus</w:t>
      </w:r>
      <w:r w:rsidRPr="00AD1320">
        <w:rPr>
          <w:sz w:val="24"/>
          <w:szCs w:val="24"/>
        </w:rPr>
        <w:t>,</w:t>
      </w:r>
      <w:r w:rsidRPr="00501ECF">
        <w:rPr>
          <w:sz w:val="24"/>
          <w:szCs w:val="24"/>
        </w:rPr>
        <w:t xml:space="preserve"> especies que xogan un importante papel no mantemento do equilibrio ecolóxico. Polo tanto, non se seguíu unha metodoloxía de estudo adecuado nin no que se refire á revisión bibliográfica nin no que se refire ós traballos de campo que requiren a realización de censos específicos e a instalación de cámaras de fototrampeo, entre otros.</w:t>
      </w:r>
    </w:p>
    <w:p w14:paraId="02335C13" w14:textId="77777777" w:rsidR="006F212D" w:rsidRDefault="006F212D" w:rsidP="006F212D">
      <w:pPr>
        <w:pStyle w:val="Standard"/>
        <w:spacing w:before="120"/>
        <w:jc w:val="both"/>
        <w:rPr>
          <w:rFonts w:ascii="Calibri" w:hAnsi="Calibri"/>
        </w:rPr>
      </w:pPr>
      <w:r>
        <w:rPr>
          <w:rFonts w:ascii="Calibri" w:hAnsi="Calibri"/>
        </w:rPr>
        <w:t>A lebre ibérica (</w:t>
      </w:r>
      <w:r>
        <w:rPr>
          <w:rFonts w:ascii="Calibri" w:hAnsi="Calibri"/>
          <w:i/>
          <w:iCs/>
        </w:rPr>
        <w:t>Lepus granatensis subsp. gallaecicus</w:t>
      </w:r>
      <w:r>
        <w:rPr>
          <w:rFonts w:ascii="Calibri" w:hAnsi="Calibri"/>
        </w:rPr>
        <w:t>) habita en toda a liña de cumes da serra da Groba, como ben saben os cazadores dos tecores que existen dentro desta área, estando presente na zona afectada polo proxecto eólico.</w:t>
      </w:r>
    </w:p>
    <w:p w14:paraId="07600904" w14:textId="77777777" w:rsidR="006F212D" w:rsidRDefault="006F212D" w:rsidP="006F212D">
      <w:pPr>
        <w:pStyle w:val="Standard"/>
        <w:spacing w:before="120"/>
        <w:jc w:val="both"/>
        <w:rPr>
          <w:rFonts w:ascii="Calibri" w:hAnsi="Calibri"/>
        </w:rPr>
      </w:pPr>
      <w:r>
        <w:rPr>
          <w:rFonts w:ascii="Calibri" w:hAnsi="Calibri"/>
        </w:rPr>
        <w:t>Moi abondosa nas terras litorais do Baixo Miño e da Ría de Vigo durante a primeira metade do século XX, esta especie experimentou sen embargo un declive catastrófico, que a conducíu á extinción na maioría dos territorios que antes ocupaba. Na serra da Groba sobrevive aínda, mais agresións ambientais como a que suporía o parque eólico Albariño I poderían conducila tamén aquí á desaparición. As novas vías proxectadas invadirían un dos seus mellores hábitats na serra, como son os relevos chans con vexetación herbácea e arbustiva de escaso porte, e favorecerían o acceso de persoas e de vehículos (coas molestias conseguintes), así como posibelmente o furtivismo sobre esta especie.</w:t>
      </w:r>
    </w:p>
    <w:p w14:paraId="0A469635" w14:textId="77777777" w:rsidR="006F212D" w:rsidRPr="000A69E4" w:rsidRDefault="006F212D" w:rsidP="006F212D">
      <w:pPr>
        <w:pStyle w:val="Default"/>
        <w:spacing w:before="120"/>
        <w:jc w:val="both"/>
        <w:rPr>
          <w:rFonts w:ascii="Calibri" w:hAnsi="Calibri" w:cs="Calibri"/>
        </w:rPr>
      </w:pPr>
      <w:r w:rsidRPr="000A69E4">
        <w:rPr>
          <w:rFonts w:ascii="Calibri" w:hAnsi="Calibri" w:cs="Calibri"/>
        </w:rPr>
        <w:t>O E</w:t>
      </w:r>
      <w:r>
        <w:rPr>
          <w:rFonts w:ascii="Calibri" w:hAnsi="Calibri" w:cs="Calibri"/>
        </w:rPr>
        <w:t>s</w:t>
      </w:r>
      <w:r w:rsidRPr="000A69E4">
        <w:rPr>
          <w:rFonts w:ascii="Calibri" w:hAnsi="Calibri" w:cs="Calibri"/>
        </w:rPr>
        <w:t>IA</w:t>
      </w:r>
      <w:r>
        <w:rPr>
          <w:rFonts w:ascii="Calibri" w:hAnsi="Calibri" w:cs="Calibri"/>
        </w:rPr>
        <w:t xml:space="preserve"> non</w:t>
      </w:r>
      <w:r w:rsidRPr="000A69E4">
        <w:rPr>
          <w:rFonts w:ascii="Calibri" w:hAnsi="Calibri" w:cs="Calibri"/>
        </w:rPr>
        <w:t xml:space="preserve"> recolle a presenza de</w:t>
      </w:r>
      <w:r>
        <w:rPr>
          <w:rFonts w:ascii="Calibri" w:hAnsi="Calibri" w:cs="Calibri"/>
        </w:rPr>
        <w:t xml:space="preserve"> </w:t>
      </w:r>
      <w:r w:rsidRPr="000A69E4">
        <w:rPr>
          <w:rFonts w:ascii="Calibri" w:hAnsi="Calibri"/>
          <w:i/>
        </w:rPr>
        <w:t>Geomalacus maculosus</w:t>
      </w:r>
      <w:r w:rsidRPr="000A69E4">
        <w:rPr>
          <w:rFonts w:ascii="Calibri" w:hAnsi="Calibri" w:cs="Calibri"/>
        </w:rPr>
        <w:t xml:space="preserve"> na serra da Groba. Sen embargo, un exemplar foi detectado en maio de 2013 a escasa distancia dunha das charcas principais do sector </w:t>
      </w:r>
      <w:r w:rsidRPr="000A69E4">
        <w:rPr>
          <w:rFonts w:ascii="Calibri" w:hAnsi="Calibri" w:cs="Calibri"/>
        </w:rPr>
        <w:lastRenderedPageBreak/>
        <w:t xml:space="preserve">norte da serra, dentro da poligonal do parque eólico </w:t>
      </w:r>
      <w:r>
        <w:rPr>
          <w:rFonts w:ascii="Calibri" w:hAnsi="Calibri" w:cs="Calibri"/>
        </w:rPr>
        <w:t>Torroña I</w:t>
      </w:r>
      <w:r w:rsidRPr="000A69E4">
        <w:rPr>
          <w:rFonts w:ascii="Calibri" w:hAnsi="Calibri" w:cs="Calibri"/>
        </w:rPr>
        <w:t xml:space="preserve">. O avistamento foi publicado no </w:t>
      </w:r>
      <w:hyperlink r:id="rId70" w:history="1">
        <w:r w:rsidRPr="008C07A1">
          <w:rPr>
            <w:rStyle w:val="Hipervnculo"/>
            <w:rFonts w:ascii="Calibri" w:hAnsi="Calibri" w:cs="Calibri"/>
          </w:rPr>
          <w:t>blog da Asociación Herpetolóxica Galega</w:t>
        </w:r>
      </w:hyperlink>
      <w:r>
        <w:rPr>
          <w:rStyle w:val="Refdenotaalpie"/>
          <w:rFonts w:ascii="Calibri" w:hAnsi="Calibri"/>
        </w:rPr>
        <w:footnoteReference w:id="53"/>
      </w:r>
      <w:r>
        <w:rPr>
          <w:rFonts w:ascii="Calibri" w:hAnsi="Calibri" w:cs="Calibri"/>
        </w:rPr>
        <w:t>. Esta especie é unha especie protexida que figura no ANEXO II do Convenio de Berna, na Directiva Hábitats e figura no Catálogo Galego de Especies Ameazadas como VULNERABLE.</w:t>
      </w:r>
      <w:r w:rsidRPr="000A69E4">
        <w:rPr>
          <w:rFonts w:ascii="Calibri" w:hAnsi="Calibri" w:cs="Calibri"/>
        </w:rPr>
        <w:t xml:space="preserve"> É </w:t>
      </w:r>
      <w:r>
        <w:rPr>
          <w:rFonts w:ascii="Calibri" w:hAnsi="Calibri" w:cs="Calibri"/>
        </w:rPr>
        <w:t xml:space="preserve">unha especie </w:t>
      </w:r>
      <w:r w:rsidRPr="000A69E4">
        <w:rPr>
          <w:rFonts w:ascii="Calibri" w:hAnsi="Calibri" w:cs="Calibri"/>
        </w:rPr>
        <w:t>endémica de certas áreas de Galiza e do NW ibérico – onde se encontra especialmente en zonas montañosas - así como do extremo occidental de Irlanda. Habita en bosques caducifolios maduros, turbeiras, carrasqueiras húmidas e zonas abertas cun substrato rochoso, en condicións de alta humidade edáfica e con abundancia de briófitas.</w:t>
      </w:r>
    </w:p>
    <w:p w14:paraId="50FD18C1" w14:textId="77777777" w:rsidR="006F212D" w:rsidRPr="00501ECF" w:rsidRDefault="006F212D" w:rsidP="006F212D">
      <w:pPr>
        <w:spacing w:before="120" w:after="0" w:line="240" w:lineRule="auto"/>
        <w:jc w:val="both"/>
        <w:rPr>
          <w:sz w:val="24"/>
          <w:szCs w:val="24"/>
        </w:rPr>
      </w:pPr>
      <w:r w:rsidRPr="00501ECF">
        <w:rPr>
          <w:sz w:val="24"/>
          <w:szCs w:val="24"/>
        </w:rPr>
        <w:t>Non se realiza un inventario de insectos nin se avalía o efecto sobre esta comunidade de organismos.</w:t>
      </w:r>
    </w:p>
    <w:p w14:paraId="18AB86D3" w14:textId="77777777" w:rsidR="006F212D" w:rsidRPr="00501ECF" w:rsidRDefault="006F212D" w:rsidP="006F212D">
      <w:pPr>
        <w:spacing w:before="120" w:after="0" w:line="240" w:lineRule="auto"/>
        <w:jc w:val="both"/>
        <w:rPr>
          <w:sz w:val="24"/>
          <w:szCs w:val="24"/>
        </w:rPr>
      </w:pPr>
      <w:r w:rsidRPr="00501ECF">
        <w:rPr>
          <w:sz w:val="24"/>
          <w:szCs w:val="24"/>
        </w:rPr>
        <w:t xml:space="preserve">Omítese a presencia de </w:t>
      </w:r>
      <w:r w:rsidRPr="00501ECF">
        <w:rPr>
          <w:i/>
          <w:iCs/>
          <w:sz w:val="24"/>
          <w:szCs w:val="24"/>
        </w:rPr>
        <w:t>Zerynthia rumina</w:t>
      </w:r>
      <w:r w:rsidRPr="00501ECF">
        <w:rPr>
          <w:sz w:val="24"/>
          <w:szCs w:val="24"/>
        </w:rPr>
        <w:t>, catalogada en PERIGO DE EXTINCIÓN no Catálogo Galego de Especies Ameazadas.</w:t>
      </w:r>
    </w:p>
    <w:p w14:paraId="07601004" w14:textId="77777777" w:rsidR="006F212D" w:rsidRPr="00501ECF" w:rsidRDefault="006F212D" w:rsidP="006F212D">
      <w:pPr>
        <w:spacing w:before="120" w:after="0" w:line="240" w:lineRule="auto"/>
        <w:jc w:val="both"/>
        <w:rPr>
          <w:sz w:val="24"/>
          <w:szCs w:val="24"/>
        </w:rPr>
      </w:pPr>
      <w:r w:rsidRPr="00501ECF">
        <w:rPr>
          <w:sz w:val="24"/>
          <w:szCs w:val="24"/>
        </w:rPr>
        <w:t>As plantas eólicas xeran unha alta mortalidade de insectos, unha turbina nunha zona temperada mata arredor de 40 millóns</w:t>
      </w:r>
      <w:r>
        <w:rPr>
          <w:sz w:val="24"/>
          <w:szCs w:val="24"/>
        </w:rPr>
        <w:t xml:space="preserve"> de insectos ó ano</w:t>
      </w:r>
      <w:r w:rsidRPr="00501ECF">
        <w:rPr>
          <w:sz w:val="24"/>
          <w:szCs w:val="24"/>
        </w:rPr>
        <w:t>. Estas taxas de mortalidade poden afectar drásticamente ás poboacións de insectos en diversas escalas espaciais, especialmente a nivel local e pode reducir a polinización e a súa función nos ecosistemas. A alta actividade de insectos na zona de risco das turbinas tamén atrae a depredadores e moitos estudos relacionan a súa presencia coa elevada taxa de mortalidade de morcegos nestas instalació</w:t>
      </w:r>
      <w:r>
        <w:rPr>
          <w:sz w:val="24"/>
          <w:szCs w:val="24"/>
        </w:rPr>
        <w:t>ns</w:t>
      </w:r>
      <w:r w:rsidRPr="00501ECF">
        <w:rPr>
          <w:sz w:val="24"/>
          <w:szCs w:val="24"/>
        </w:rPr>
        <w:t>.</w:t>
      </w:r>
    </w:p>
    <w:p w14:paraId="0B53283F" w14:textId="77777777" w:rsidR="006F212D" w:rsidRPr="00501ECF" w:rsidRDefault="006F212D" w:rsidP="006F212D">
      <w:pPr>
        <w:spacing w:before="120" w:after="0" w:line="240" w:lineRule="auto"/>
        <w:jc w:val="both"/>
        <w:rPr>
          <w:sz w:val="24"/>
          <w:szCs w:val="24"/>
        </w:rPr>
      </w:pPr>
      <w:r w:rsidRPr="00501ECF">
        <w:rPr>
          <w:sz w:val="24"/>
          <w:szCs w:val="24"/>
        </w:rPr>
        <w:t xml:space="preserve">Se ben a mortalidade directa dos animales voadores resulta moi evidente pola presencia de cadáveres nas instalacións, as plantas eólicas tamén afectan negativamente a especies non voadoras </w:t>
      </w:r>
      <w:r>
        <w:rPr>
          <w:sz w:val="24"/>
          <w:szCs w:val="24"/>
        </w:rPr>
        <w:t>de interés</w:t>
      </w:r>
      <w:r w:rsidRPr="00501ECF">
        <w:rPr>
          <w:sz w:val="24"/>
          <w:szCs w:val="24"/>
        </w:rPr>
        <w:t>. A alteración do hábitat resulta moi grave para algunhas especies, particularmente en formacións de matorrais e bo</w:t>
      </w:r>
      <w:r>
        <w:rPr>
          <w:sz w:val="24"/>
          <w:szCs w:val="24"/>
        </w:rPr>
        <w:t>sques</w:t>
      </w:r>
      <w:r w:rsidRPr="00501ECF">
        <w:rPr>
          <w:sz w:val="24"/>
          <w:szCs w:val="24"/>
        </w:rPr>
        <w:t>. Incluso en espacios abertos obtéñense respostas negativas da</w:t>
      </w:r>
      <w:r>
        <w:rPr>
          <w:sz w:val="24"/>
          <w:szCs w:val="24"/>
        </w:rPr>
        <w:t>lgunhas especies</w:t>
      </w:r>
      <w:r w:rsidRPr="00501ECF">
        <w:rPr>
          <w:sz w:val="24"/>
          <w:szCs w:val="24"/>
        </w:rPr>
        <w:t>, polo que é necesario facer unha correcta avaliación de todos os taxons sensibles.</w:t>
      </w:r>
    </w:p>
    <w:p w14:paraId="103BB49C" w14:textId="77777777" w:rsidR="006F212D" w:rsidRPr="00FF75F7" w:rsidRDefault="006F212D" w:rsidP="006F212D">
      <w:pPr>
        <w:pStyle w:val="Standard"/>
        <w:spacing w:before="120"/>
        <w:jc w:val="both"/>
      </w:pPr>
      <w:r w:rsidRPr="00FF75F7">
        <w:rPr>
          <w:rFonts w:ascii="Calibri" w:hAnsi="Calibri"/>
        </w:rPr>
        <w:t xml:space="preserve">As obras previstas constitúen un risco para a conservación </w:t>
      </w:r>
      <w:r>
        <w:rPr>
          <w:rFonts w:ascii="Calibri" w:hAnsi="Calibri"/>
        </w:rPr>
        <w:t>de sistemas hídricos</w:t>
      </w:r>
      <w:r w:rsidRPr="00FF75F7">
        <w:rPr>
          <w:rFonts w:ascii="Calibri" w:hAnsi="Calibri"/>
        </w:rPr>
        <w:t xml:space="preserve"> de hidroperíodo longo. A previsibel irrupción nesta zona de vehículos motorizados a través dos viais proxectados, pola súa parte, ocasionaría o atropelo de exemplares desta especie nas inmediacións dos seus lugares de reprodución.</w:t>
      </w:r>
    </w:p>
    <w:p w14:paraId="5D8C6F3B" w14:textId="77777777" w:rsidR="006F212D" w:rsidRPr="001F2635" w:rsidRDefault="006F212D" w:rsidP="006F212D">
      <w:pPr>
        <w:pStyle w:val="Default"/>
        <w:spacing w:before="120"/>
        <w:jc w:val="both"/>
        <w:rPr>
          <w:color w:val="auto"/>
        </w:rPr>
      </w:pPr>
      <w:r w:rsidRPr="001F2635">
        <w:rPr>
          <w:rFonts w:ascii="Calibri" w:hAnsi="Calibri"/>
          <w:color w:val="auto"/>
        </w:rPr>
        <w:t>A ra ibérica (</w:t>
      </w:r>
      <w:r w:rsidRPr="001F2635">
        <w:rPr>
          <w:rFonts w:ascii="Calibri" w:hAnsi="Calibri"/>
          <w:i/>
          <w:iCs/>
          <w:color w:val="auto"/>
        </w:rPr>
        <w:t>Rana ibérica</w:t>
      </w:r>
      <w:r w:rsidRPr="001F2635">
        <w:rPr>
          <w:rFonts w:ascii="Calibri" w:hAnsi="Calibri"/>
          <w:color w:val="auto"/>
        </w:rPr>
        <w:t>), especie incluía no CGEA na categoría de “vulnerable”, só aparece rexistrada dentro da cuadrícula de 10x10 km. dentro da cal se localiza a serra da Groba. Mais non se indica a presenza desta especie dentro da poligonal do proxecto eólico, cando si se encontra nun regato estacional que resultaría atravesado polas liñas de conducción eléctrica no lugar denominado Chan da Calzada.</w:t>
      </w:r>
    </w:p>
    <w:p w14:paraId="6F940ADD" w14:textId="77777777" w:rsidR="006F212D" w:rsidRPr="00FF75F7" w:rsidRDefault="006F212D" w:rsidP="006F212D">
      <w:pPr>
        <w:spacing w:before="120" w:after="0" w:line="240" w:lineRule="auto"/>
        <w:jc w:val="both"/>
        <w:rPr>
          <w:i/>
          <w:iCs/>
          <w:sz w:val="24"/>
          <w:szCs w:val="24"/>
        </w:rPr>
      </w:pPr>
      <w:r w:rsidRPr="00501ECF">
        <w:rPr>
          <w:sz w:val="24"/>
          <w:szCs w:val="24"/>
        </w:rPr>
        <w:t xml:space="preserve">Tampouco se avalian os efectos ambientais sobre </w:t>
      </w:r>
      <w:r w:rsidRPr="00501ECF">
        <w:rPr>
          <w:i/>
          <w:iCs/>
          <w:sz w:val="24"/>
          <w:szCs w:val="24"/>
        </w:rPr>
        <w:t>Triturus marmoratus, Lissotriton boscai, Lissotriton helveticus, Chioglosa lusitánica</w:t>
      </w:r>
      <w:r w:rsidRPr="00501ECF">
        <w:rPr>
          <w:sz w:val="24"/>
          <w:szCs w:val="24"/>
        </w:rPr>
        <w:t xml:space="preserve"> (endemismo da Península Ibérica considerada VULNERABLE no Catálogo Galego de Especies Ameazadas), </w:t>
      </w:r>
      <w:r w:rsidRPr="00501ECF">
        <w:rPr>
          <w:i/>
          <w:iCs/>
          <w:sz w:val="24"/>
          <w:szCs w:val="24"/>
        </w:rPr>
        <w:t xml:space="preserve">Rhinechis scalaris, Malpolon monspessulanus, Coronella girondica, Coronella austriaca, Natrix maura, Natrix natrix, </w:t>
      </w:r>
      <w:r w:rsidRPr="00FF75F7">
        <w:rPr>
          <w:i/>
          <w:iCs/>
          <w:sz w:val="24"/>
          <w:szCs w:val="24"/>
        </w:rPr>
        <w:t>Lacerta schreiberi, Timon lepidus, Psammodromus algirus, Podarcis hispánica.</w:t>
      </w:r>
    </w:p>
    <w:p w14:paraId="1D71B7B9" w14:textId="77777777" w:rsidR="006F212D" w:rsidRDefault="006F212D" w:rsidP="006F212D">
      <w:pPr>
        <w:pStyle w:val="Standard"/>
        <w:spacing w:before="120"/>
        <w:jc w:val="both"/>
      </w:pPr>
      <w:r w:rsidRPr="00FF75F7">
        <w:rPr>
          <w:rFonts w:ascii="Calibri" w:hAnsi="Calibri"/>
        </w:rPr>
        <w:t xml:space="preserve">Os diferentes anfibios que habitan nesta área da serra da Groba seleccionan as charcas en función da capacidade das mesmas e </w:t>
      </w:r>
      <w:r>
        <w:rPr>
          <w:rFonts w:ascii="Calibri" w:hAnsi="Calibri"/>
        </w:rPr>
        <w:t>do período de permanencia da auga, de modo que existen:</w:t>
      </w:r>
    </w:p>
    <w:p w14:paraId="2EA1FC37" w14:textId="77777777" w:rsidR="006F212D" w:rsidRDefault="006F212D" w:rsidP="006F212D">
      <w:pPr>
        <w:pStyle w:val="Standard"/>
        <w:numPr>
          <w:ilvl w:val="0"/>
          <w:numId w:val="4"/>
        </w:numPr>
        <w:spacing w:before="120"/>
        <w:ind w:left="567" w:firstLine="0"/>
        <w:jc w:val="both"/>
      </w:pPr>
      <w:r>
        <w:rPr>
          <w:rFonts w:ascii="Calibri" w:hAnsi="Calibri"/>
        </w:rPr>
        <w:t>Especies de hidroperíodo curto, sendo a especie máis característica aquí o sapo corredor (</w:t>
      </w:r>
      <w:r>
        <w:rPr>
          <w:rFonts w:ascii="Calibri" w:hAnsi="Calibri"/>
          <w:i/>
          <w:iCs/>
        </w:rPr>
        <w:t>Epidalea calamita</w:t>
      </w:r>
      <w:r>
        <w:rPr>
          <w:rFonts w:ascii="Calibri" w:hAnsi="Calibri"/>
        </w:rPr>
        <w:t>), que escolle para reproducirse as charcas de menor profundidade.</w:t>
      </w:r>
    </w:p>
    <w:p w14:paraId="175592D0" w14:textId="77777777" w:rsidR="006F212D" w:rsidRDefault="006F212D" w:rsidP="006F212D">
      <w:pPr>
        <w:pStyle w:val="Standard"/>
        <w:numPr>
          <w:ilvl w:val="0"/>
          <w:numId w:val="4"/>
        </w:numPr>
        <w:spacing w:before="120"/>
        <w:ind w:left="567" w:firstLine="0"/>
        <w:jc w:val="both"/>
      </w:pPr>
      <w:r>
        <w:rPr>
          <w:rFonts w:ascii="Calibri" w:hAnsi="Calibri"/>
        </w:rPr>
        <w:lastRenderedPageBreak/>
        <w:t xml:space="preserve">Especies de hidroperíodo longo. Tamén neste lugar: </w:t>
      </w:r>
      <w:r>
        <w:rPr>
          <w:rFonts w:ascii="Calibri" w:hAnsi="Calibri"/>
          <w:i/>
          <w:iCs/>
        </w:rPr>
        <w:t>Pelophylax perezi</w:t>
      </w:r>
      <w:r>
        <w:rPr>
          <w:rFonts w:ascii="Calibri" w:hAnsi="Calibri"/>
        </w:rPr>
        <w:t xml:space="preserve">, </w:t>
      </w:r>
      <w:r>
        <w:rPr>
          <w:rFonts w:ascii="Calibri" w:hAnsi="Calibri"/>
          <w:i/>
          <w:iCs/>
        </w:rPr>
        <w:t>Hyla molleri</w:t>
      </w:r>
      <w:r>
        <w:rPr>
          <w:rFonts w:ascii="Calibri" w:hAnsi="Calibri"/>
        </w:rPr>
        <w:t xml:space="preserve">, </w:t>
      </w:r>
      <w:r>
        <w:rPr>
          <w:rFonts w:ascii="Calibri" w:hAnsi="Calibri"/>
          <w:i/>
          <w:iCs/>
        </w:rPr>
        <w:t>Pelobates cultripes</w:t>
      </w:r>
      <w:r>
        <w:rPr>
          <w:rFonts w:ascii="Calibri" w:hAnsi="Calibri"/>
        </w:rPr>
        <w:t xml:space="preserve"> e </w:t>
      </w:r>
      <w:r>
        <w:rPr>
          <w:rFonts w:ascii="Calibri" w:hAnsi="Calibri"/>
          <w:i/>
          <w:iCs/>
        </w:rPr>
        <w:t>Triturus marmoratus</w:t>
      </w:r>
      <w:r>
        <w:rPr>
          <w:rFonts w:ascii="Calibri" w:hAnsi="Calibri"/>
        </w:rPr>
        <w:t>.</w:t>
      </w:r>
    </w:p>
    <w:p w14:paraId="48EDFE51" w14:textId="77777777" w:rsidR="006F212D" w:rsidRPr="00AD1320" w:rsidRDefault="006F212D" w:rsidP="006F212D">
      <w:pPr>
        <w:pStyle w:val="Default"/>
        <w:spacing w:before="120"/>
        <w:jc w:val="both"/>
        <w:rPr>
          <w:rFonts w:ascii="Calibri" w:hAnsi="Calibri" w:cs="Calibri"/>
        </w:rPr>
      </w:pPr>
      <w:r w:rsidRPr="00AD1320">
        <w:rPr>
          <w:rFonts w:ascii="Calibri" w:hAnsi="Calibri" w:cs="Calibri"/>
          <w:i/>
          <w:iCs/>
        </w:rPr>
        <w:t>Chalcides bedriagai</w:t>
      </w:r>
      <w:r w:rsidRPr="00AD1320">
        <w:rPr>
          <w:rFonts w:ascii="Calibri" w:hAnsi="Calibri" w:cs="Calibri"/>
        </w:rPr>
        <w:t xml:space="preserve">, un dos réptiles máis ameazados da fauna galega, incluído no CGEA, habita na área afectada polo proxecto eólico. Sen embargo </w:t>
      </w:r>
      <w:r>
        <w:rPr>
          <w:rFonts w:ascii="Calibri" w:hAnsi="Calibri" w:cs="Calibri"/>
        </w:rPr>
        <w:t>o EsIA realiza unha insuficiente e inadecuada caracterización da comunidade herpetolóxica</w:t>
      </w:r>
      <w:r w:rsidRPr="00AD1320">
        <w:rPr>
          <w:rFonts w:ascii="Calibri" w:hAnsi="Calibri" w:cs="Calibri"/>
        </w:rPr>
        <w:t>.</w:t>
      </w:r>
    </w:p>
    <w:p w14:paraId="6D425193" w14:textId="77777777" w:rsidR="006F212D" w:rsidRPr="00AD1320" w:rsidRDefault="006F212D" w:rsidP="006F212D">
      <w:pPr>
        <w:pStyle w:val="Default"/>
        <w:spacing w:before="120"/>
        <w:jc w:val="both"/>
        <w:rPr>
          <w:rFonts w:ascii="Calibri" w:hAnsi="Calibri" w:cs="Calibri"/>
        </w:rPr>
      </w:pPr>
      <w:r w:rsidRPr="00AD1320">
        <w:rPr>
          <w:rFonts w:ascii="Calibri" w:hAnsi="Calibri" w:cs="Calibri"/>
        </w:rPr>
        <w:t>Entre 1990 e 1994 a Asociación Naturalista Baixo Miño (</w:t>
      </w:r>
      <w:r>
        <w:rPr>
          <w:rFonts w:ascii="Calibri" w:hAnsi="Calibri" w:cs="Calibri"/>
        </w:rPr>
        <w:t>ANABAM</w:t>
      </w:r>
      <w:r w:rsidRPr="00AD1320">
        <w:rPr>
          <w:rFonts w:ascii="Calibri" w:hAnsi="Calibri" w:cs="Calibri"/>
        </w:rPr>
        <w:t xml:space="preserve">) durante os traballos de campo do </w:t>
      </w:r>
      <w:r w:rsidRPr="00AD1320">
        <w:rPr>
          <w:rFonts w:ascii="Calibri" w:hAnsi="Calibri" w:cs="Calibri"/>
          <w:i/>
          <w:iCs/>
        </w:rPr>
        <w:t>Atlas dos Réptiles do Baixo Miño</w:t>
      </w:r>
      <w:r w:rsidRPr="00AD1320">
        <w:rPr>
          <w:rFonts w:ascii="Calibri" w:hAnsi="Calibri" w:cs="Calibri"/>
        </w:rPr>
        <w:t>, recolleu 3 citas para esta especie no monte da Valga e nas proximidades da capela de San Martiño, no sector sur da serra da Groba, nun hábitat semellante ao que ocupa no sector norte da mesma.</w:t>
      </w:r>
    </w:p>
    <w:p w14:paraId="244060AD" w14:textId="77777777" w:rsidR="006F212D" w:rsidRPr="00AD1320" w:rsidRDefault="006F212D" w:rsidP="006F212D">
      <w:pPr>
        <w:pStyle w:val="Default"/>
        <w:spacing w:before="120"/>
        <w:jc w:val="both"/>
        <w:rPr>
          <w:rFonts w:ascii="Calibri" w:hAnsi="Calibri" w:cs="Calibri"/>
        </w:rPr>
      </w:pPr>
      <w:r w:rsidRPr="00AD1320">
        <w:rPr>
          <w:rFonts w:ascii="Calibri" w:hAnsi="Calibri" w:cs="Calibri"/>
        </w:rPr>
        <w:t>Máis recente é o rexistro dun exemplar desta especie o día 3 abril de 2017 nas Mariñas de Mougás (concello de Oia), nas ladeiras da serra da Groba, nun hábitat de matogueira seca e rochas que nada ten a ver con hábitats de carácter dunar ou areoso. A cita, que foi validada, publicouse na plataforma Biodiversidade.eu, onde pode ser consultada.</w:t>
      </w:r>
    </w:p>
    <w:p w14:paraId="54C99275" w14:textId="77777777" w:rsidR="006F212D" w:rsidRPr="00AD1320" w:rsidRDefault="006F212D" w:rsidP="006F212D">
      <w:pPr>
        <w:pStyle w:val="Default"/>
        <w:spacing w:before="120"/>
        <w:jc w:val="both"/>
        <w:rPr>
          <w:rFonts w:ascii="Calibri" w:hAnsi="Calibri" w:cs="Calibri"/>
        </w:rPr>
      </w:pPr>
      <w:r w:rsidRPr="00AD1320">
        <w:rPr>
          <w:rFonts w:ascii="Calibri" w:hAnsi="Calibri" w:cs="Calibri"/>
        </w:rPr>
        <w:t xml:space="preserve">Tamén no ano 2017, na </w:t>
      </w:r>
      <w:r w:rsidRPr="00AD1320">
        <w:rPr>
          <w:rFonts w:ascii="Calibri" w:hAnsi="Calibri" w:cs="Calibri"/>
          <w:i/>
          <w:iCs/>
        </w:rPr>
        <w:t>7ª Actualización do Atlas dos Anfibios e Réptiles de Galicia</w:t>
      </w:r>
      <w:r w:rsidRPr="00AD1320">
        <w:rPr>
          <w:rFonts w:ascii="Calibri" w:hAnsi="Calibri" w:cs="Calibri"/>
        </w:rPr>
        <w:t>, da Sociedade Galega de Historia Natural, destácase a existencia de dúas novas citas desta especie: unha delas en Oia (quizais o mesmo rexistro anterior) e unha segunda cita no concello do Porriño; loxicamente, tampouco esta última observación se realizou nun hábitat litoral.</w:t>
      </w:r>
    </w:p>
    <w:p w14:paraId="54046287" w14:textId="77777777" w:rsidR="006F212D" w:rsidRPr="00AD1320" w:rsidRDefault="006F212D" w:rsidP="006F212D">
      <w:pPr>
        <w:pStyle w:val="Default"/>
        <w:spacing w:before="120"/>
        <w:jc w:val="both"/>
        <w:rPr>
          <w:rFonts w:ascii="Calibri" w:hAnsi="Calibri" w:cs="Calibri"/>
        </w:rPr>
      </w:pPr>
      <w:r w:rsidRPr="00AD1320">
        <w:rPr>
          <w:rFonts w:ascii="Calibri" w:hAnsi="Calibri" w:cs="Calibri"/>
        </w:rPr>
        <w:t xml:space="preserve">Quizais a cita máis recente nestes momentos, na nosa área xeográfica, sexa a observación dun exemplar o día 23 de abril de 2020 en Vincios (Gondomar); rexistro que será incluído previsibelmente na próxima actualización do </w:t>
      </w:r>
      <w:r w:rsidRPr="00AD1320">
        <w:rPr>
          <w:rFonts w:ascii="Calibri" w:hAnsi="Calibri" w:cs="Calibri"/>
          <w:i/>
          <w:iCs/>
        </w:rPr>
        <w:t>Atlas de Anfibios e Réptiles de Galicia</w:t>
      </w:r>
      <w:r w:rsidRPr="00AD1320">
        <w:rPr>
          <w:rFonts w:ascii="Calibri" w:hAnsi="Calibri" w:cs="Calibri"/>
        </w:rPr>
        <w:t xml:space="preserve"> da Sociedade Galega de Historia Natural. O individuo - identificado por especialistas – foi fotografado ao pé da ladeira sur do monte Alba, nun hábitat de matogueira seca atlántica moi pedreguento. No atlas citado inclúense ademais 6 cuadrículas con citas recentes na provincia de Ourense. Obviamente, os exemplares ourensáns tampouco se encontraban en “</w:t>
      </w:r>
      <w:r w:rsidRPr="00AD1320">
        <w:rPr>
          <w:rFonts w:ascii="Calibri" w:hAnsi="Calibri" w:cs="Calibri"/>
          <w:i/>
          <w:iCs/>
        </w:rPr>
        <w:t>arenales costero</w:t>
      </w:r>
      <w:r w:rsidRPr="00AD1320">
        <w:rPr>
          <w:rFonts w:ascii="Calibri" w:hAnsi="Calibri" w:cs="Calibri"/>
        </w:rPr>
        <w:t>s”.</w:t>
      </w:r>
    </w:p>
    <w:p w14:paraId="4744AE95" w14:textId="77777777" w:rsidR="006F212D" w:rsidRPr="00AD1320" w:rsidRDefault="006F212D" w:rsidP="006F212D">
      <w:pPr>
        <w:pStyle w:val="Default"/>
        <w:spacing w:before="120"/>
        <w:jc w:val="both"/>
        <w:rPr>
          <w:rFonts w:ascii="Calibri" w:hAnsi="Calibri" w:cs="Calibri"/>
        </w:rPr>
      </w:pPr>
      <w:r w:rsidRPr="00AD1320">
        <w:rPr>
          <w:rFonts w:ascii="Calibri" w:hAnsi="Calibri" w:cs="Calibri"/>
        </w:rPr>
        <w:t xml:space="preserve">A especie </w:t>
      </w:r>
      <w:r w:rsidRPr="00AD1320">
        <w:rPr>
          <w:rFonts w:ascii="Calibri" w:hAnsi="Calibri" w:cs="Calibri"/>
          <w:i/>
          <w:iCs/>
        </w:rPr>
        <w:t>Chalcides bedriagai</w:t>
      </w:r>
      <w:r w:rsidRPr="00AD1320">
        <w:rPr>
          <w:rFonts w:ascii="Calibri" w:hAnsi="Calibri" w:cs="Calibri"/>
        </w:rPr>
        <w:t xml:space="preserve"> non só se encontra presente noutros sectores da serra da Groba ou en ladeiras baixas da mesma, senon que tamén foi localizada - en varias ocasións - dentro da superficie que resultaría afectada polas obras do parque eólico Albariño I (comunicación persoal de membros da </w:t>
      </w:r>
      <w:hyperlink r:id="rId71" w:history="1">
        <w:r w:rsidRPr="0035006B">
          <w:rPr>
            <w:rStyle w:val="Hipervnculo"/>
            <w:rFonts w:ascii="Calibri" w:hAnsi="Calibri" w:cs="Calibri"/>
          </w:rPr>
          <w:t>Asociación Herpetolóxica Española</w:t>
        </w:r>
      </w:hyperlink>
      <w:r>
        <w:rPr>
          <w:rStyle w:val="Refdenotaalpie"/>
          <w:rFonts w:ascii="Calibri" w:hAnsi="Calibri"/>
        </w:rPr>
        <w:footnoteReference w:id="54"/>
      </w:r>
      <w:r w:rsidRPr="00AD1320">
        <w:rPr>
          <w:rFonts w:ascii="Calibri" w:hAnsi="Calibri" w:cs="Calibri"/>
        </w:rPr>
        <w:t>). Unha das últimas observacións foi publicada precis</w:t>
      </w:r>
      <w:r>
        <w:rPr>
          <w:rFonts w:ascii="Calibri" w:hAnsi="Calibri" w:cs="Calibri"/>
        </w:rPr>
        <w:t>amente no blog desta asociación.</w:t>
      </w:r>
    </w:p>
    <w:p w14:paraId="30EA664B" w14:textId="77777777" w:rsidR="006F212D" w:rsidRDefault="006F212D" w:rsidP="006F212D">
      <w:pPr>
        <w:pStyle w:val="Standard"/>
        <w:spacing w:before="120"/>
        <w:jc w:val="both"/>
        <w:rPr>
          <w:rFonts w:ascii="Calibri" w:hAnsi="Calibri" w:cs="Calibri"/>
        </w:rPr>
      </w:pPr>
      <w:r w:rsidRPr="00C34D4E">
        <w:rPr>
          <w:rFonts w:ascii="Calibri" w:hAnsi="Calibri" w:cs="Calibri"/>
        </w:rPr>
        <w:t>Resulta particularmente grabe o caso de</w:t>
      </w:r>
      <w:r w:rsidRPr="00C34D4E">
        <w:rPr>
          <w:rFonts w:ascii="Calibri" w:hAnsi="Calibri" w:cs="Calibri"/>
          <w:i/>
          <w:iCs/>
        </w:rPr>
        <w:t xml:space="preserve"> Pelobates cultripes (</w:t>
      </w:r>
      <w:r w:rsidRPr="00C34D4E">
        <w:rPr>
          <w:rFonts w:ascii="Calibri" w:hAnsi="Calibri" w:cs="Calibri"/>
        </w:rPr>
        <w:t>VULNERABLE no Catálogo Galego de Especies Ameazadas</w:t>
      </w:r>
      <w:r w:rsidRPr="00C34D4E">
        <w:rPr>
          <w:rFonts w:ascii="Calibri" w:hAnsi="Calibri" w:cs="Calibri"/>
          <w:i/>
          <w:iCs/>
        </w:rPr>
        <w:t xml:space="preserve">) </w:t>
      </w:r>
      <w:r w:rsidRPr="00C34D4E">
        <w:rPr>
          <w:rFonts w:ascii="Calibri" w:hAnsi="Calibri" w:cs="Calibri"/>
        </w:rPr>
        <w:t>considerado</w:t>
      </w:r>
      <w:r w:rsidRPr="00C34D4E">
        <w:rPr>
          <w:rFonts w:ascii="Calibri" w:hAnsi="Calibri" w:cs="Calibri"/>
          <w:i/>
          <w:iCs/>
        </w:rPr>
        <w:t xml:space="preserve"> </w:t>
      </w:r>
      <w:r w:rsidRPr="00C34D4E">
        <w:rPr>
          <w:rFonts w:ascii="Calibri" w:hAnsi="Calibri" w:cs="Calibri"/>
        </w:rPr>
        <w:t xml:space="preserve">o anfibio máis ameazado e de menor rango de </w:t>
      </w:r>
      <w:r w:rsidRPr="009527C1">
        <w:rPr>
          <w:rFonts w:ascii="Calibri" w:hAnsi="Calibri" w:cs="Calibri"/>
        </w:rPr>
        <w:t xml:space="preserve">distribución do territorio galego (Tejedo e Reques, 2002) e do que EsIA non presenta un estudo do estado actual da poboación existentes na área afectada polo PE. A  presenza da especie na serra da Groba é mencionada no </w:t>
      </w:r>
      <w:r>
        <w:rPr>
          <w:rFonts w:ascii="Calibri" w:hAnsi="Calibri" w:cs="Calibri"/>
        </w:rPr>
        <w:t>EsIA</w:t>
      </w:r>
      <w:r w:rsidRPr="009527C1">
        <w:rPr>
          <w:rFonts w:ascii="Calibri" w:hAnsi="Calibri" w:cs="Calibri"/>
        </w:rPr>
        <w:t xml:space="preserve">, se ben a fonte consultada (base de dados S.I.A.R.E. - Servidor de Información de Anfibios e Réptiles de España, da Asociación Herpetolóxica Española e o Ministerio de Medio Ambiente e Medio Rural e Mariño -) inclúe rexistros antigos de poboacións que xa se encontran extintas. Sen embargo, existe información precisa e actualizada que localiza con exactitude 10 rexistros recentes da especie na serra da Groba, na plataforma colaborativa Biodiversidade.eu., da que forman parte a Universidade de Santiago, a Universidade de Porto, a Xunta de Galicia, a Fundação Fernão Magalhães e a Fundación CEER. Estas citas de </w:t>
      </w:r>
      <w:r w:rsidRPr="009527C1">
        <w:rPr>
          <w:rFonts w:ascii="Calibri" w:hAnsi="Calibri" w:cs="Calibri"/>
          <w:i/>
          <w:iCs/>
        </w:rPr>
        <w:t>Pelobates cultripes</w:t>
      </w:r>
      <w:r w:rsidRPr="009527C1">
        <w:rPr>
          <w:rFonts w:ascii="Calibri" w:hAnsi="Calibri" w:cs="Calibri"/>
        </w:rPr>
        <w:t>,</w:t>
      </w:r>
      <w:r w:rsidRPr="009527C1">
        <w:rPr>
          <w:rFonts w:ascii="Calibri" w:hAnsi="Calibri" w:cs="Calibri"/>
          <w:i/>
          <w:iCs/>
        </w:rPr>
        <w:t xml:space="preserve"> </w:t>
      </w:r>
      <w:r w:rsidRPr="009527C1">
        <w:rPr>
          <w:rFonts w:ascii="Calibri" w:hAnsi="Calibri" w:cs="Calibri"/>
        </w:rPr>
        <w:t>validadas polos editores, datan dos anos 2016, 2017 e 2018.</w:t>
      </w:r>
    </w:p>
    <w:p w14:paraId="2B630EC2" w14:textId="77777777" w:rsidR="006F212D" w:rsidRPr="009527C1" w:rsidRDefault="006F212D" w:rsidP="006F212D">
      <w:pPr>
        <w:pStyle w:val="Standard"/>
        <w:spacing w:before="120"/>
        <w:jc w:val="both"/>
        <w:rPr>
          <w:rFonts w:ascii="Calibri" w:hAnsi="Calibri" w:cs="Calibri"/>
        </w:rPr>
      </w:pPr>
      <w:r w:rsidRPr="009527C1">
        <w:rPr>
          <w:rFonts w:ascii="Calibri" w:hAnsi="Calibri" w:cs="Calibri"/>
        </w:rPr>
        <w:t xml:space="preserve">Como </w:t>
      </w:r>
      <w:hyperlink r:id="rId72" w:history="1">
        <w:r w:rsidRPr="00D74FF9">
          <w:rPr>
            <w:rStyle w:val="Hipervnculo"/>
            <w:rFonts w:ascii="Calibri" w:hAnsi="Calibri" w:cs="Calibri"/>
          </w:rPr>
          <w:t>se pode comprobar no seguinte enlace</w:t>
        </w:r>
      </w:hyperlink>
      <w:r>
        <w:rPr>
          <w:rStyle w:val="Refdenotaalpie"/>
          <w:rFonts w:ascii="Calibri" w:hAnsi="Calibri"/>
        </w:rPr>
        <w:footnoteReference w:id="55"/>
      </w:r>
      <w:r w:rsidRPr="009527C1">
        <w:rPr>
          <w:rFonts w:ascii="Calibri" w:hAnsi="Calibri" w:cs="Calibri"/>
        </w:rPr>
        <w:t xml:space="preserve">, todos os rexistros se refiren a exemplares observados e fotografados en 3 charcas estacionais, de hidroperíodo longo, que se localizan dentro </w:t>
      </w:r>
      <w:r w:rsidRPr="009527C1">
        <w:rPr>
          <w:rFonts w:ascii="Calibri" w:hAnsi="Calibri" w:cs="Calibri"/>
        </w:rPr>
        <w:lastRenderedPageBreak/>
        <w:t>da poligonal do proxecto eólico Albariño I, precisamente no seu sector NW, que resultaría directa</w:t>
      </w:r>
      <w:r>
        <w:rPr>
          <w:rFonts w:ascii="Calibri" w:hAnsi="Calibri" w:cs="Calibri"/>
        </w:rPr>
        <w:t>mente afectado polas obras.</w:t>
      </w:r>
    </w:p>
    <w:p w14:paraId="1239F535" w14:textId="77777777" w:rsidR="006F212D" w:rsidRPr="009527C1" w:rsidRDefault="006F212D" w:rsidP="006F212D">
      <w:pPr>
        <w:pStyle w:val="Standard"/>
        <w:spacing w:before="120"/>
        <w:jc w:val="both"/>
        <w:rPr>
          <w:rFonts w:ascii="Calibri" w:hAnsi="Calibri" w:cs="Calibri"/>
        </w:rPr>
      </w:pPr>
      <w:r w:rsidRPr="009527C1">
        <w:rPr>
          <w:rFonts w:ascii="Calibri" w:hAnsi="Calibri" w:cs="Calibri"/>
        </w:rPr>
        <w:t xml:space="preserve">Por outro lado, diversos traballos teñen constatado un grande declive da especie en Galiza durante os últimos anos, que se manifesta na extinción de numerosas poboacións locais - máis acusada nas poboacións litorais -, motivo polo que </w:t>
      </w:r>
      <w:r w:rsidRPr="009527C1">
        <w:rPr>
          <w:rFonts w:ascii="Calibri" w:hAnsi="Calibri" w:cs="Calibri"/>
          <w:i/>
          <w:iCs/>
        </w:rPr>
        <w:t>Pelobates cultripes</w:t>
      </w:r>
      <w:r w:rsidRPr="009527C1">
        <w:rPr>
          <w:rFonts w:ascii="Calibri" w:hAnsi="Calibri" w:cs="Calibri"/>
        </w:rPr>
        <w:t xml:space="preserve"> é considerado actualmente o anfibio máis ameazado da fauna galega, e se está a reclamar un cambio ne categoría de protección da especie no Catálogo Galego de Especies Ameazadas, pasando da calificación actual de “vulnerable” á de “en perigo de extinción”:</w:t>
      </w:r>
    </w:p>
    <w:p w14:paraId="5480A5BB" w14:textId="77777777" w:rsidR="006F212D" w:rsidRPr="009527C1" w:rsidRDefault="006F212D" w:rsidP="006F212D">
      <w:pPr>
        <w:pStyle w:val="Standard"/>
        <w:numPr>
          <w:ilvl w:val="0"/>
          <w:numId w:val="5"/>
        </w:numPr>
        <w:spacing w:before="120"/>
        <w:ind w:left="851" w:firstLine="0"/>
        <w:jc w:val="both"/>
        <w:rPr>
          <w:rFonts w:ascii="Calibri" w:hAnsi="Calibri" w:cs="Calibri"/>
        </w:rPr>
      </w:pPr>
      <w:r w:rsidRPr="009527C1">
        <w:rPr>
          <w:rFonts w:ascii="Calibri" w:hAnsi="Calibri" w:cs="Calibri"/>
        </w:rPr>
        <w:t>“</w:t>
      </w:r>
      <w:r w:rsidRPr="009527C1">
        <w:rPr>
          <w:rFonts w:ascii="Calibri" w:hAnsi="Calibri" w:cs="Calibri"/>
          <w:i/>
          <w:iCs/>
        </w:rPr>
        <w:t>Estado de conservación de Pelobates cultripes en Galicia</w:t>
      </w:r>
      <w:r w:rsidRPr="009527C1">
        <w:rPr>
          <w:rFonts w:ascii="Calibri" w:hAnsi="Calibri" w:cs="Calibri"/>
        </w:rPr>
        <w:t>”. Departamento de Bioloxía Animal, Bioloxía vexetal e Ecoloxía. Facultade de Ciencias da Universidade da Coruña (2010).</w:t>
      </w:r>
    </w:p>
    <w:p w14:paraId="6662C89A" w14:textId="77777777" w:rsidR="006F212D" w:rsidRPr="009527C1" w:rsidRDefault="006F212D" w:rsidP="006F212D">
      <w:pPr>
        <w:pStyle w:val="Standard"/>
        <w:numPr>
          <w:ilvl w:val="0"/>
          <w:numId w:val="5"/>
        </w:numPr>
        <w:spacing w:before="120"/>
        <w:ind w:left="851" w:firstLine="0"/>
        <w:jc w:val="both"/>
        <w:rPr>
          <w:rFonts w:ascii="Calibri" w:hAnsi="Calibri" w:cs="Calibri"/>
        </w:rPr>
      </w:pPr>
      <w:r w:rsidRPr="009527C1">
        <w:rPr>
          <w:rFonts w:ascii="Calibri" w:hAnsi="Calibri" w:cs="Calibri"/>
        </w:rPr>
        <w:t>“</w:t>
      </w:r>
      <w:r w:rsidRPr="009527C1">
        <w:rPr>
          <w:rFonts w:ascii="Calibri" w:hAnsi="Calibri" w:cs="Calibri"/>
          <w:i/>
          <w:iCs/>
        </w:rPr>
        <w:t>Revisión del estado de conservación del sapo de espuelas (Pelobates cultripes) en Galicia</w:t>
      </w:r>
      <w:r w:rsidRPr="009527C1">
        <w:rPr>
          <w:rFonts w:ascii="Calibri" w:hAnsi="Calibri" w:cs="Calibri"/>
        </w:rPr>
        <w:t>”. Guadalupe García Blanco. Universidade da Coruña (2015).</w:t>
      </w:r>
    </w:p>
    <w:p w14:paraId="76B6BBB2" w14:textId="77777777" w:rsidR="006F212D" w:rsidRPr="009527C1" w:rsidRDefault="006F212D" w:rsidP="006F212D">
      <w:pPr>
        <w:pStyle w:val="Standard"/>
        <w:spacing w:before="120"/>
        <w:jc w:val="both"/>
        <w:rPr>
          <w:rFonts w:ascii="Calibri" w:hAnsi="Calibri" w:cs="Calibri"/>
        </w:rPr>
      </w:pPr>
      <w:bookmarkStart w:id="165" w:name="page6R_mcid27"/>
      <w:bookmarkEnd w:id="165"/>
      <w:r w:rsidRPr="009527C1">
        <w:rPr>
          <w:rFonts w:ascii="Calibri" w:hAnsi="Calibri" w:cs="Calibri"/>
        </w:rPr>
        <w:t xml:space="preserve">Se ben a poboación desta especie na serra da Groba non está censada, nin tampouco se coñecen os límites exactos da súa área de distribución, até o día de hoxe só temos constatada a súa presenza e reprodución no sector norte da serra, nunha área de altitude superior aos 580/600 m.s.n.m., dentro da cal existen 3 charcas estacionais de hidroperíodo longo onde se teñen encontrado de maneira regular, nos últimos anos, larvas e adultos de </w:t>
      </w:r>
      <w:r w:rsidRPr="009527C1">
        <w:rPr>
          <w:rFonts w:ascii="Calibri" w:hAnsi="Calibri" w:cs="Calibri"/>
          <w:i/>
          <w:iCs/>
        </w:rPr>
        <w:t>Pelobates cultripes</w:t>
      </w:r>
      <w:r w:rsidRPr="009527C1">
        <w:rPr>
          <w:rFonts w:ascii="Calibri" w:hAnsi="Calibri" w:cs="Calibri"/>
        </w:rPr>
        <w:t>. A pesar de termos prospectado máis charcas noutros sectores distintos da serra, polo de agora só puidemos detectar esta especie nas 3 charcas mencionadas. As nosas observacións concordan plenamente cos rexistros publicados na plataforma colaborativa Biodiversidade.eu.</w:t>
      </w:r>
    </w:p>
    <w:p w14:paraId="5B4B9040" w14:textId="77777777" w:rsidR="006F212D" w:rsidRPr="009527C1" w:rsidRDefault="0017543F" w:rsidP="006F212D">
      <w:pPr>
        <w:pStyle w:val="Standard"/>
        <w:spacing w:before="120"/>
        <w:jc w:val="both"/>
        <w:rPr>
          <w:rFonts w:ascii="Calibri" w:hAnsi="Calibri" w:cs="Calibri"/>
        </w:rPr>
      </w:pPr>
      <w:hyperlink r:id="rId73" w:history="1">
        <w:r w:rsidR="006F212D" w:rsidRPr="00D74FF9">
          <w:rPr>
            <w:rStyle w:val="Hipervnculo"/>
            <w:rFonts w:ascii="Calibri" w:hAnsi="Calibri" w:cs="Calibri"/>
          </w:rPr>
          <w:t>Pódese consultar aquí</w:t>
        </w:r>
      </w:hyperlink>
      <w:r w:rsidR="006F212D">
        <w:rPr>
          <w:rStyle w:val="Refdenotaalpie"/>
          <w:rFonts w:ascii="Calibri" w:hAnsi="Calibri"/>
        </w:rPr>
        <w:footnoteReference w:id="56"/>
      </w:r>
      <w:r w:rsidR="006F212D" w:rsidRPr="009527C1">
        <w:rPr>
          <w:rFonts w:ascii="Calibri" w:hAnsi="Calibri" w:cs="Calibri"/>
        </w:rPr>
        <w:t xml:space="preserve"> a publicación en prensa do descubrimento desta es</w:t>
      </w:r>
      <w:r w:rsidR="006F212D">
        <w:rPr>
          <w:rFonts w:ascii="Calibri" w:hAnsi="Calibri" w:cs="Calibri"/>
        </w:rPr>
        <w:t>pecie na serra da Groba en 2012.</w:t>
      </w:r>
    </w:p>
    <w:p w14:paraId="7CE9D95D" w14:textId="77777777" w:rsidR="006F212D" w:rsidRDefault="006F212D" w:rsidP="006F212D">
      <w:pPr>
        <w:pStyle w:val="Standard"/>
        <w:spacing w:before="120"/>
        <w:jc w:val="both"/>
        <w:rPr>
          <w:rFonts w:ascii="Calibri" w:hAnsi="Calibri" w:cs="Calibri"/>
        </w:rPr>
      </w:pPr>
      <w:r w:rsidRPr="009527C1">
        <w:rPr>
          <w:rFonts w:ascii="Calibri" w:hAnsi="Calibri" w:cs="Calibri"/>
        </w:rPr>
        <w:t>Estas 3 charcas non aparecen rexistradas nin situadas no E</w:t>
      </w:r>
      <w:r>
        <w:rPr>
          <w:rFonts w:ascii="Calibri" w:hAnsi="Calibri" w:cs="Calibri"/>
        </w:rPr>
        <w:t>s</w:t>
      </w:r>
      <w:r w:rsidRPr="009527C1">
        <w:rPr>
          <w:rFonts w:ascii="Calibri" w:hAnsi="Calibri" w:cs="Calibri"/>
        </w:rPr>
        <w:t xml:space="preserve">IA . </w:t>
      </w:r>
    </w:p>
    <w:p w14:paraId="3244B720" w14:textId="77777777" w:rsidR="006F212D" w:rsidRPr="009527C1" w:rsidRDefault="006F212D" w:rsidP="006F212D">
      <w:pPr>
        <w:pStyle w:val="Standard"/>
        <w:spacing w:before="120"/>
        <w:jc w:val="both"/>
        <w:rPr>
          <w:rFonts w:ascii="Calibri" w:hAnsi="Calibri" w:cs="Calibri"/>
        </w:rPr>
      </w:pPr>
      <w:r w:rsidRPr="009527C1">
        <w:rPr>
          <w:rFonts w:ascii="Calibri" w:hAnsi="Calibri" w:cs="Calibri"/>
        </w:rPr>
        <w:t xml:space="preserve">A da serra da Groba é unha das 3 poboacións de </w:t>
      </w:r>
      <w:r w:rsidRPr="009527C1">
        <w:rPr>
          <w:rFonts w:ascii="Calibri" w:hAnsi="Calibri" w:cs="Calibri"/>
          <w:i/>
          <w:iCs/>
        </w:rPr>
        <w:t>Pelobates cultripes</w:t>
      </w:r>
      <w:r w:rsidRPr="009527C1">
        <w:rPr>
          <w:rFonts w:ascii="Calibri" w:hAnsi="Calibri" w:cs="Calibri"/>
        </w:rPr>
        <w:t xml:space="preserve"> coñecidas actualmente na provincia de Pontevedra, sendo ademais a máis numerosa. Como xa dixemos, a maioría de poboacións litorais desta especie, que se distribuía a través de distintos espazos costeiros das Rías Baixas, encóntranse actualmente extintas. Esta poboación da serra da Groba, a pesar da escasa distancia lineal á que se encontra do mar, presenta porén unhas características de hábitat análogas ás das poboacións do interior.</w:t>
      </w:r>
    </w:p>
    <w:p w14:paraId="11322783" w14:textId="77777777" w:rsidR="006F212D" w:rsidRDefault="006F212D" w:rsidP="006F212D">
      <w:pPr>
        <w:pStyle w:val="Standard"/>
        <w:spacing w:before="120"/>
        <w:jc w:val="both"/>
      </w:pPr>
      <w:r>
        <w:rPr>
          <w:rFonts w:ascii="Calibri" w:hAnsi="Calibri"/>
        </w:rPr>
        <w:t xml:space="preserve">O </w:t>
      </w:r>
      <w:r>
        <w:rPr>
          <w:rFonts w:ascii="Calibri" w:hAnsi="Calibri"/>
          <w:i/>
          <w:iCs/>
        </w:rPr>
        <w:t>Atlas y Libro Rojo de los Anfibios y Reptiles de España</w:t>
      </w:r>
      <w:r>
        <w:rPr>
          <w:rFonts w:ascii="Calibri" w:hAnsi="Calibri"/>
        </w:rPr>
        <w:t>, editado polo Ministerio para la Transición Ecológica y el Reto Demográfico, sinala entre as causas do declive desta especie os “</w:t>
      </w:r>
      <w:r>
        <w:rPr>
          <w:rFonts w:ascii="Calibri" w:hAnsi="Calibri"/>
          <w:i/>
          <w:iCs/>
        </w:rPr>
        <w:t>atropelos en estrada en zonas de migración ricas en charcas reprodutivas</w:t>
      </w:r>
      <w:r>
        <w:rPr>
          <w:rFonts w:ascii="Calibri" w:hAnsi="Calibri"/>
        </w:rPr>
        <w:t>”. Aos atropelos que se rexistran  habitualmente na estrada que atravesa o Alto da Groba sumaríanse os que se producirían nos viais de nova apertura asociados ao parque eólico, que facilitarían o tránsito nocturno de vehículos nunha área especialmente sensibel para a conservación desta especie. As obras de construción das pistas e outras infraestruturas previstas no proxecto ocasionarían, previsibelmente, a morte ademais de numerosos exemplares que se encontrarían ocultos baixo a superficie do chan durante o período non reprodutor.</w:t>
      </w:r>
    </w:p>
    <w:p w14:paraId="4C227ABF" w14:textId="77777777" w:rsidR="006F212D" w:rsidRDefault="006F212D" w:rsidP="006F212D">
      <w:pPr>
        <w:pStyle w:val="Standard"/>
        <w:spacing w:before="120"/>
        <w:jc w:val="both"/>
      </w:pPr>
      <w:r>
        <w:rPr>
          <w:rFonts w:ascii="Calibri" w:hAnsi="Calibri"/>
        </w:rPr>
        <w:t xml:space="preserve">A conservación de núcleos de charcas reprodutivas próximas entre si - como as que existen nesta zona da serra da Groba -, sen rupturas de conectividade entre as mesmas, é sinalada neste mesmo documento como esenciais para garantir o recrutamento de exemplares xuvenís e a protección das </w:t>
      </w:r>
      <w:r>
        <w:rPr>
          <w:rFonts w:ascii="Calibri" w:hAnsi="Calibri"/>
        </w:rPr>
        <w:lastRenderedPageBreak/>
        <w:t>poboacións da especie. Insiste precisamente en que os procesos de extinción local poden ser diminuídos mantendo unha estrutura metapoboacional de charcas conectadas; especialmente importante por tratarse dunha especie que presenta un período larvario moi prolongado, sendo polo tanto moi sensibel a períodos longos de seca.</w:t>
      </w:r>
    </w:p>
    <w:p w14:paraId="61CBC707" w14:textId="77777777" w:rsidR="006F212D" w:rsidRDefault="006F212D" w:rsidP="006F212D">
      <w:pPr>
        <w:pStyle w:val="Standard"/>
        <w:spacing w:before="120"/>
        <w:jc w:val="both"/>
        <w:rPr>
          <w:rFonts w:ascii="Calibri" w:hAnsi="Calibri"/>
        </w:rPr>
      </w:pPr>
      <w:r>
        <w:rPr>
          <w:rFonts w:ascii="Calibri" w:hAnsi="Calibri"/>
        </w:rPr>
        <w:t xml:space="preserve">Engadir ao respecto que a pista de acceso á estación meteorolóxica levantaría unha barreira artificial entre dúas destas charcas: a </w:t>
      </w:r>
      <w:r>
        <w:rPr>
          <w:rFonts w:ascii="Calibri" w:hAnsi="Calibri"/>
          <w:i/>
          <w:iCs/>
        </w:rPr>
        <w:t>Poza Negra</w:t>
      </w:r>
      <w:r>
        <w:rPr>
          <w:rFonts w:ascii="Calibri" w:hAnsi="Calibri"/>
        </w:rPr>
        <w:t xml:space="preserve"> e a </w:t>
      </w:r>
      <w:r>
        <w:rPr>
          <w:rFonts w:ascii="Calibri" w:hAnsi="Calibri"/>
          <w:i/>
          <w:iCs/>
        </w:rPr>
        <w:t>Poza da Gabiñeira</w:t>
      </w:r>
      <w:r>
        <w:rPr>
          <w:rFonts w:ascii="Calibri" w:hAnsi="Calibri"/>
        </w:rPr>
        <w:t>.</w:t>
      </w:r>
    </w:p>
    <w:p w14:paraId="619F48FC" w14:textId="77777777" w:rsidR="006F212D" w:rsidRPr="009527C1" w:rsidRDefault="006F212D" w:rsidP="006F212D">
      <w:pPr>
        <w:pStyle w:val="Standard"/>
        <w:spacing w:before="120"/>
        <w:jc w:val="both"/>
        <w:rPr>
          <w:b/>
          <w:bCs/>
        </w:rPr>
      </w:pPr>
      <w:r w:rsidRPr="009527C1">
        <w:rPr>
          <w:rStyle w:val="StrongEmphasis"/>
        </w:rPr>
        <w:t>No artigo 12, a Directiva 92/43/CEE establece que:</w:t>
      </w:r>
    </w:p>
    <w:p w14:paraId="36BFC589" w14:textId="77777777" w:rsidR="006F212D" w:rsidRPr="009527C1" w:rsidRDefault="006F212D" w:rsidP="006F212D">
      <w:pPr>
        <w:pStyle w:val="Textbody"/>
        <w:spacing w:before="120" w:after="0" w:line="240" w:lineRule="auto"/>
        <w:ind w:left="851" w:right="567"/>
        <w:jc w:val="both"/>
        <w:rPr>
          <w:rFonts w:ascii="Calibri" w:hAnsi="Calibri"/>
          <w:sz w:val="22"/>
          <w:szCs w:val="22"/>
        </w:rPr>
      </w:pPr>
      <w:r w:rsidRPr="009527C1">
        <w:rPr>
          <w:rFonts w:ascii="Calibri" w:hAnsi="Calibri"/>
          <w:sz w:val="22"/>
          <w:szCs w:val="22"/>
        </w:rPr>
        <w:t>“</w:t>
      </w:r>
      <w:r w:rsidRPr="009527C1">
        <w:rPr>
          <w:rFonts w:ascii="Calibri" w:hAnsi="Calibri"/>
          <w:i/>
          <w:iCs/>
          <w:sz w:val="22"/>
          <w:szCs w:val="22"/>
        </w:rPr>
        <w:t>Os estados membros tomarán as medidas necesarias para instaurar un sistema de protección rigorosa das especies animais que figuran na letra a) do Anexo IV, nas súas áreas de distribución natural, prohibindo (…) o deterioro ou destrución dos lugares de reprodución ou das áreas de descanso</w:t>
      </w:r>
      <w:r w:rsidRPr="009527C1">
        <w:rPr>
          <w:rFonts w:ascii="Calibri" w:hAnsi="Calibri"/>
          <w:sz w:val="22"/>
          <w:szCs w:val="22"/>
        </w:rPr>
        <w:t>”.</w:t>
      </w:r>
    </w:p>
    <w:p w14:paraId="7609F860" w14:textId="77777777" w:rsidR="006F212D" w:rsidRDefault="006F212D" w:rsidP="006F212D">
      <w:pPr>
        <w:spacing w:before="120" w:after="0" w:line="240" w:lineRule="auto"/>
        <w:jc w:val="both"/>
        <w:rPr>
          <w:sz w:val="24"/>
          <w:szCs w:val="24"/>
        </w:rPr>
      </w:pPr>
      <w:r w:rsidRPr="00501ECF">
        <w:rPr>
          <w:sz w:val="24"/>
          <w:szCs w:val="24"/>
        </w:rPr>
        <w:t xml:space="preserve">A construcción do PE </w:t>
      </w:r>
      <w:r>
        <w:rPr>
          <w:sz w:val="24"/>
          <w:szCs w:val="24"/>
        </w:rPr>
        <w:t>Torroña I</w:t>
      </w:r>
      <w:r w:rsidRPr="00501ECF">
        <w:rPr>
          <w:sz w:val="24"/>
          <w:szCs w:val="24"/>
        </w:rPr>
        <w:t xml:space="preserve"> terá efectos moi severos e irreversibles sobre a herpetofauna debido á alteración no rexime de drenaxe da rede hídrica do Alto da Groba, producirá mortalidade durante as obras, perda de puntos de reproducción e destrucción do seu hábitat. </w:t>
      </w:r>
    </w:p>
    <w:p w14:paraId="778A7262" w14:textId="77777777" w:rsidR="006F212D" w:rsidRPr="00501ECF" w:rsidRDefault="006F212D" w:rsidP="006F212D">
      <w:pPr>
        <w:spacing w:before="120" w:after="0" w:line="240" w:lineRule="auto"/>
        <w:jc w:val="both"/>
        <w:rPr>
          <w:sz w:val="24"/>
          <w:szCs w:val="24"/>
        </w:rPr>
      </w:pPr>
      <w:r w:rsidRPr="00501ECF">
        <w:rPr>
          <w:sz w:val="24"/>
          <w:szCs w:val="24"/>
        </w:rPr>
        <w:t>As especies herpetolóxicas non teñen capacidade migratoria para evitar as obras de construción do PE. Moitas teñen hábitos nocturnos e subterráneos, polo que se producirá mortalidade durante as obras. Produciranse atropelos nos viais mentre estes estén operativos e non só na fase de construción.</w:t>
      </w:r>
    </w:p>
    <w:p w14:paraId="15530F04" w14:textId="77777777" w:rsidR="006F212D" w:rsidRPr="00501ECF" w:rsidRDefault="006F212D" w:rsidP="006F212D">
      <w:pPr>
        <w:spacing w:before="120" w:after="0" w:line="240" w:lineRule="auto"/>
        <w:jc w:val="both"/>
        <w:rPr>
          <w:sz w:val="24"/>
          <w:szCs w:val="24"/>
        </w:rPr>
      </w:pPr>
      <w:r w:rsidRPr="00501ECF">
        <w:rPr>
          <w:sz w:val="24"/>
          <w:szCs w:val="24"/>
        </w:rPr>
        <w:t xml:space="preserve">A afección sonora interfire na reproducción dos anuros, pero a drenaxe alteraría irreversiblemente os únicos puntos de reproducción na poligonal e no Sur de Pontevedra para </w:t>
      </w:r>
      <w:r w:rsidRPr="00501ECF">
        <w:rPr>
          <w:i/>
          <w:iCs/>
          <w:sz w:val="24"/>
          <w:szCs w:val="24"/>
        </w:rPr>
        <w:t>P.cultripes</w:t>
      </w:r>
      <w:r w:rsidRPr="00501ECF">
        <w:rPr>
          <w:sz w:val="24"/>
          <w:szCs w:val="24"/>
        </w:rPr>
        <w:t>. Carece de rigor a afirmación da “migración” cara outras partes do parque.</w:t>
      </w:r>
    </w:p>
    <w:p w14:paraId="2E73D835" w14:textId="77777777" w:rsidR="006F212D" w:rsidRPr="00501ECF" w:rsidRDefault="006F212D" w:rsidP="006F212D">
      <w:pPr>
        <w:spacing w:before="120" w:after="0" w:line="240" w:lineRule="auto"/>
        <w:jc w:val="both"/>
        <w:rPr>
          <w:sz w:val="24"/>
          <w:szCs w:val="24"/>
        </w:rPr>
      </w:pPr>
      <w:r w:rsidRPr="00501ECF">
        <w:rPr>
          <w:sz w:val="24"/>
          <w:szCs w:val="24"/>
        </w:rPr>
        <w:t xml:space="preserve">Resulta imposible evitar os impactos sobre a comunidade de anfibios tendo en conta a construcción de viais, zanxas, zapatas, plataformas varias e canalizacións sobre as zonas de ocupación, alimentación e reproducción destas especies. A fase de obra terá un impacto </w:t>
      </w:r>
      <w:r w:rsidRPr="00501ECF">
        <w:rPr>
          <w:b/>
          <w:bCs/>
          <w:sz w:val="24"/>
          <w:szCs w:val="24"/>
        </w:rPr>
        <w:t>IRREVERSIBLE</w:t>
      </w:r>
      <w:r w:rsidRPr="00501ECF">
        <w:rPr>
          <w:sz w:val="24"/>
          <w:szCs w:val="24"/>
        </w:rPr>
        <w:t xml:space="preserve"> sobre estas especies.</w:t>
      </w:r>
    </w:p>
    <w:p w14:paraId="2D3A353C" w14:textId="77777777" w:rsidR="006F212D" w:rsidRPr="00501ECF" w:rsidRDefault="006F212D" w:rsidP="006F212D">
      <w:pPr>
        <w:spacing w:before="120" w:after="0" w:line="240" w:lineRule="auto"/>
        <w:jc w:val="both"/>
        <w:rPr>
          <w:sz w:val="24"/>
          <w:szCs w:val="24"/>
        </w:rPr>
      </w:pPr>
      <w:r w:rsidRPr="00501ECF">
        <w:rPr>
          <w:sz w:val="24"/>
          <w:szCs w:val="24"/>
        </w:rPr>
        <w:t>A instalación dun PE implica mortalidade anfibios e réptiles e destrucción directa dos seus hábitats polo que o efecto será M</w:t>
      </w:r>
      <w:r w:rsidRPr="00501ECF">
        <w:rPr>
          <w:b/>
          <w:bCs/>
          <w:sz w:val="24"/>
          <w:szCs w:val="24"/>
        </w:rPr>
        <w:t>OI GRAVE</w:t>
      </w:r>
      <w:r w:rsidRPr="00501ECF">
        <w:rPr>
          <w:sz w:val="24"/>
          <w:szCs w:val="24"/>
        </w:rPr>
        <w:t xml:space="preserve"> e </w:t>
      </w:r>
      <w:r w:rsidRPr="00501ECF">
        <w:rPr>
          <w:b/>
          <w:bCs/>
          <w:sz w:val="24"/>
          <w:szCs w:val="24"/>
        </w:rPr>
        <w:t>IRREVERSIBLE</w:t>
      </w:r>
      <w:r w:rsidRPr="00501ECF">
        <w:rPr>
          <w:sz w:val="24"/>
          <w:szCs w:val="24"/>
        </w:rPr>
        <w:t>, especialmente no caso das especies incluidas no Catálogo Galego de Especies Ameazadas.</w:t>
      </w:r>
    </w:p>
    <w:p w14:paraId="2D18F951" w14:textId="77777777" w:rsidR="006F212D" w:rsidRPr="00501ECF" w:rsidRDefault="006F212D" w:rsidP="006F212D">
      <w:pPr>
        <w:pBdr>
          <w:top w:val="single" w:sz="4" w:space="1" w:color="auto"/>
          <w:left w:val="single" w:sz="4" w:space="4" w:color="auto"/>
          <w:bottom w:val="single" w:sz="4" w:space="1" w:color="auto"/>
          <w:right w:val="single" w:sz="4" w:space="4" w:color="auto"/>
        </w:pBdr>
        <w:spacing w:before="120" w:after="0" w:line="240" w:lineRule="auto"/>
        <w:jc w:val="both"/>
        <w:rPr>
          <w:sz w:val="24"/>
          <w:szCs w:val="24"/>
        </w:rPr>
      </w:pPr>
      <w:r w:rsidRPr="00501ECF">
        <w:rPr>
          <w:sz w:val="24"/>
          <w:szCs w:val="24"/>
        </w:rPr>
        <w:t xml:space="preserve">Non se avalian axeitadamente os efectos sobre a comunidade faunística e as potenciais consecuencias no mantemento das cadeas tróficas e do equilibrio ecolóxico que se prevén </w:t>
      </w:r>
      <w:r w:rsidRPr="00501ECF">
        <w:rPr>
          <w:b/>
          <w:bCs/>
          <w:sz w:val="24"/>
          <w:szCs w:val="24"/>
        </w:rPr>
        <w:t>MOI SEVEROS</w:t>
      </w:r>
      <w:r w:rsidRPr="00501ECF">
        <w:rPr>
          <w:sz w:val="24"/>
          <w:szCs w:val="24"/>
        </w:rPr>
        <w:t>.</w:t>
      </w:r>
    </w:p>
    <w:p w14:paraId="5657C139" w14:textId="77777777" w:rsidR="006F212D" w:rsidRDefault="006F212D" w:rsidP="006F212D">
      <w:pPr>
        <w:spacing w:after="0" w:line="240" w:lineRule="auto"/>
        <w:jc w:val="both"/>
        <w:rPr>
          <w:rStyle w:val="Hipervnculo"/>
          <w:rFonts w:cstheme="minorHAnsi"/>
          <w:color w:val="000000" w:themeColor="text1"/>
          <w:sz w:val="24"/>
          <w:szCs w:val="24"/>
          <w:u w:val="none"/>
        </w:rPr>
      </w:pPr>
    </w:p>
    <w:p w14:paraId="2C097317" w14:textId="77777777" w:rsidR="006F212D" w:rsidRPr="00031E4D" w:rsidRDefault="006F212D" w:rsidP="006F212D">
      <w:pPr>
        <w:spacing w:after="0" w:line="240" w:lineRule="auto"/>
        <w:jc w:val="both"/>
        <w:rPr>
          <w:rStyle w:val="Hipervnculo"/>
          <w:rFonts w:cstheme="minorHAnsi"/>
          <w:color w:val="000000" w:themeColor="text1"/>
          <w:sz w:val="24"/>
          <w:szCs w:val="24"/>
          <w:u w:val="none"/>
        </w:rPr>
      </w:pPr>
    </w:p>
    <w:p w14:paraId="177CFF45"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166" w:name="_Toc132508923"/>
      <w:bookmarkStart w:id="167" w:name="_Toc132510392"/>
      <w:bookmarkStart w:id="168" w:name="_Toc132510510"/>
      <w:bookmarkStart w:id="169" w:name="_Toc132510625"/>
      <w:bookmarkStart w:id="170" w:name="_Toc132510870"/>
      <w:bookmarkStart w:id="171" w:name="_Toc132510983"/>
      <w:bookmarkStart w:id="172" w:name="_Toc88004912"/>
      <w:bookmarkStart w:id="173" w:name="_Hlk91618398"/>
      <w:bookmarkEnd w:id="166"/>
      <w:bookmarkEnd w:id="167"/>
      <w:bookmarkEnd w:id="168"/>
      <w:bookmarkEnd w:id="169"/>
      <w:bookmarkEnd w:id="170"/>
      <w:bookmarkEnd w:id="171"/>
    </w:p>
    <w:p w14:paraId="5C5FF141"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174" w:name="_Toc132508924"/>
      <w:bookmarkStart w:id="175" w:name="_Toc132510393"/>
      <w:bookmarkStart w:id="176" w:name="_Toc132510511"/>
      <w:bookmarkStart w:id="177" w:name="_Toc132510626"/>
      <w:bookmarkStart w:id="178" w:name="_Toc132510871"/>
      <w:bookmarkStart w:id="179" w:name="_Toc132510984"/>
      <w:bookmarkEnd w:id="174"/>
      <w:bookmarkEnd w:id="175"/>
      <w:bookmarkEnd w:id="176"/>
      <w:bookmarkEnd w:id="177"/>
      <w:bookmarkEnd w:id="178"/>
      <w:bookmarkEnd w:id="179"/>
    </w:p>
    <w:p w14:paraId="7CE66F4B"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180" w:name="_Toc132508925"/>
      <w:bookmarkStart w:id="181" w:name="_Toc132510394"/>
      <w:bookmarkStart w:id="182" w:name="_Toc132510512"/>
      <w:bookmarkStart w:id="183" w:name="_Toc132510627"/>
      <w:bookmarkStart w:id="184" w:name="_Toc132510872"/>
      <w:bookmarkStart w:id="185" w:name="_Toc132510985"/>
      <w:bookmarkEnd w:id="180"/>
      <w:bookmarkEnd w:id="181"/>
      <w:bookmarkEnd w:id="182"/>
      <w:bookmarkEnd w:id="183"/>
      <w:bookmarkEnd w:id="184"/>
      <w:bookmarkEnd w:id="185"/>
    </w:p>
    <w:p w14:paraId="0E1C7A7A"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186" w:name="_Toc132508926"/>
      <w:bookmarkStart w:id="187" w:name="_Toc132510395"/>
      <w:bookmarkStart w:id="188" w:name="_Toc132510513"/>
      <w:bookmarkStart w:id="189" w:name="_Toc132510628"/>
      <w:bookmarkStart w:id="190" w:name="_Toc132510873"/>
      <w:bookmarkStart w:id="191" w:name="_Toc132510986"/>
      <w:bookmarkEnd w:id="186"/>
      <w:bookmarkEnd w:id="187"/>
      <w:bookmarkEnd w:id="188"/>
      <w:bookmarkEnd w:id="189"/>
      <w:bookmarkEnd w:id="190"/>
      <w:bookmarkEnd w:id="191"/>
    </w:p>
    <w:p w14:paraId="32161A83"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192" w:name="_Toc132508927"/>
      <w:bookmarkStart w:id="193" w:name="_Toc132510396"/>
      <w:bookmarkStart w:id="194" w:name="_Toc132510514"/>
      <w:bookmarkStart w:id="195" w:name="_Toc132510629"/>
      <w:bookmarkStart w:id="196" w:name="_Toc132510874"/>
      <w:bookmarkStart w:id="197" w:name="_Toc132510987"/>
      <w:bookmarkEnd w:id="192"/>
      <w:bookmarkEnd w:id="193"/>
      <w:bookmarkEnd w:id="194"/>
      <w:bookmarkEnd w:id="195"/>
      <w:bookmarkEnd w:id="196"/>
      <w:bookmarkEnd w:id="197"/>
    </w:p>
    <w:p w14:paraId="4FFB0630"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198" w:name="_Toc132508928"/>
      <w:bookmarkStart w:id="199" w:name="_Toc132510397"/>
      <w:bookmarkStart w:id="200" w:name="_Toc132510515"/>
      <w:bookmarkStart w:id="201" w:name="_Toc132510630"/>
      <w:bookmarkStart w:id="202" w:name="_Toc132510875"/>
      <w:bookmarkStart w:id="203" w:name="_Toc132510988"/>
      <w:bookmarkEnd w:id="198"/>
      <w:bookmarkEnd w:id="199"/>
      <w:bookmarkEnd w:id="200"/>
      <w:bookmarkEnd w:id="201"/>
      <w:bookmarkEnd w:id="202"/>
      <w:bookmarkEnd w:id="203"/>
    </w:p>
    <w:p w14:paraId="05AC5D47"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204" w:name="_Toc132508929"/>
      <w:bookmarkStart w:id="205" w:name="_Toc132510398"/>
      <w:bookmarkStart w:id="206" w:name="_Toc132510516"/>
      <w:bookmarkStart w:id="207" w:name="_Toc132510631"/>
      <w:bookmarkStart w:id="208" w:name="_Toc132510876"/>
      <w:bookmarkStart w:id="209" w:name="_Toc132510989"/>
      <w:bookmarkEnd w:id="204"/>
      <w:bookmarkEnd w:id="205"/>
      <w:bookmarkEnd w:id="206"/>
      <w:bookmarkEnd w:id="207"/>
      <w:bookmarkEnd w:id="208"/>
      <w:bookmarkEnd w:id="209"/>
    </w:p>
    <w:p w14:paraId="01A7C6AC"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210" w:name="_Toc132508930"/>
      <w:bookmarkStart w:id="211" w:name="_Toc132510399"/>
      <w:bookmarkStart w:id="212" w:name="_Toc132510517"/>
      <w:bookmarkStart w:id="213" w:name="_Toc132510632"/>
      <w:bookmarkStart w:id="214" w:name="_Toc132510877"/>
      <w:bookmarkStart w:id="215" w:name="_Toc132510990"/>
      <w:bookmarkEnd w:id="210"/>
      <w:bookmarkEnd w:id="211"/>
      <w:bookmarkEnd w:id="212"/>
      <w:bookmarkEnd w:id="213"/>
      <w:bookmarkEnd w:id="214"/>
      <w:bookmarkEnd w:id="215"/>
    </w:p>
    <w:p w14:paraId="1396C832"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216" w:name="_Toc132508931"/>
      <w:bookmarkStart w:id="217" w:name="_Toc132510400"/>
      <w:bookmarkStart w:id="218" w:name="_Toc132510518"/>
      <w:bookmarkStart w:id="219" w:name="_Toc132510633"/>
      <w:bookmarkStart w:id="220" w:name="_Toc132510878"/>
      <w:bookmarkStart w:id="221" w:name="_Toc132510991"/>
      <w:bookmarkEnd w:id="216"/>
      <w:bookmarkEnd w:id="217"/>
      <w:bookmarkEnd w:id="218"/>
      <w:bookmarkEnd w:id="219"/>
      <w:bookmarkEnd w:id="220"/>
      <w:bookmarkEnd w:id="221"/>
    </w:p>
    <w:p w14:paraId="5E76EB89"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222" w:name="_Toc132508932"/>
      <w:bookmarkStart w:id="223" w:name="_Toc132510401"/>
      <w:bookmarkStart w:id="224" w:name="_Toc132510519"/>
      <w:bookmarkStart w:id="225" w:name="_Toc132510634"/>
      <w:bookmarkStart w:id="226" w:name="_Toc132510879"/>
      <w:bookmarkStart w:id="227" w:name="_Toc132510992"/>
      <w:bookmarkEnd w:id="222"/>
      <w:bookmarkEnd w:id="223"/>
      <w:bookmarkEnd w:id="224"/>
      <w:bookmarkEnd w:id="225"/>
      <w:bookmarkEnd w:id="226"/>
      <w:bookmarkEnd w:id="227"/>
    </w:p>
    <w:p w14:paraId="36640400"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228" w:name="_Toc132508933"/>
      <w:bookmarkStart w:id="229" w:name="_Toc132510402"/>
      <w:bookmarkStart w:id="230" w:name="_Toc132510520"/>
      <w:bookmarkStart w:id="231" w:name="_Toc132510635"/>
      <w:bookmarkStart w:id="232" w:name="_Toc132510880"/>
      <w:bookmarkStart w:id="233" w:name="_Toc132510993"/>
      <w:bookmarkEnd w:id="228"/>
      <w:bookmarkEnd w:id="229"/>
      <w:bookmarkEnd w:id="230"/>
      <w:bookmarkEnd w:id="231"/>
      <w:bookmarkEnd w:id="232"/>
      <w:bookmarkEnd w:id="233"/>
    </w:p>
    <w:p w14:paraId="5B36290E"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234" w:name="_Toc132508934"/>
      <w:bookmarkStart w:id="235" w:name="_Toc132510403"/>
      <w:bookmarkStart w:id="236" w:name="_Toc132510521"/>
      <w:bookmarkStart w:id="237" w:name="_Toc132510636"/>
      <w:bookmarkStart w:id="238" w:name="_Toc132510881"/>
      <w:bookmarkStart w:id="239" w:name="_Toc132510994"/>
      <w:bookmarkEnd w:id="234"/>
      <w:bookmarkEnd w:id="235"/>
      <w:bookmarkEnd w:id="236"/>
      <w:bookmarkEnd w:id="237"/>
      <w:bookmarkEnd w:id="238"/>
      <w:bookmarkEnd w:id="239"/>
    </w:p>
    <w:p w14:paraId="5CD8FCC7"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240" w:name="_Toc132508935"/>
      <w:bookmarkStart w:id="241" w:name="_Toc132510404"/>
      <w:bookmarkStart w:id="242" w:name="_Toc132510522"/>
      <w:bookmarkStart w:id="243" w:name="_Toc132510637"/>
      <w:bookmarkStart w:id="244" w:name="_Toc132510882"/>
      <w:bookmarkStart w:id="245" w:name="_Toc132510995"/>
      <w:bookmarkEnd w:id="240"/>
      <w:bookmarkEnd w:id="241"/>
      <w:bookmarkEnd w:id="242"/>
      <w:bookmarkEnd w:id="243"/>
      <w:bookmarkEnd w:id="244"/>
      <w:bookmarkEnd w:id="245"/>
    </w:p>
    <w:p w14:paraId="70248CBD"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246" w:name="_Toc132508936"/>
      <w:bookmarkStart w:id="247" w:name="_Toc132510405"/>
      <w:bookmarkStart w:id="248" w:name="_Toc132510523"/>
      <w:bookmarkStart w:id="249" w:name="_Toc132510638"/>
      <w:bookmarkStart w:id="250" w:name="_Toc132510883"/>
      <w:bookmarkStart w:id="251" w:name="_Toc132510996"/>
      <w:bookmarkEnd w:id="246"/>
      <w:bookmarkEnd w:id="247"/>
      <w:bookmarkEnd w:id="248"/>
      <w:bookmarkEnd w:id="249"/>
      <w:bookmarkEnd w:id="250"/>
      <w:bookmarkEnd w:id="251"/>
    </w:p>
    <w:p w14:paraId="15DDF7E2"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252" w:name="_Toc132508937"/>
      <w:bookmarkStart w:id="253" w:name="_Toc132510406"/>
      <w:bookmarkStart w:id="254" w:name="_Toc132510524"/>
      <w:bookmarkStart w:id="255" w:name="_Toc132510639"/>
      <w:bookmarkStart w:id="256" w:name="_Toc132510884"/>
      <w:bookmarkStart w:id="257" w:name="_Toc132510997"/>
      <w:bookmarkEnd w:id="252"/>
      <w:bookmarkEnd w:id="253"/>
      <w:bookmarkEnd w:id="254"/>
      <w:bookmarkEnd w:id="255"/>
      <w:bookmarkEnd w:id="256"/>
      <w:bookmarkEnd w:id="257"/>
    </w:p>
    <w:p w14:paraId="382CFBD4"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258" w:name="_Toc132508938"/>
      <w:bookmarkStart w:id="259" w:name="_Toc132510407"/>
      <w:bookmarkStart w:id="260" w:name="_Toc132510525"/>
      <w:bookmarkStart w:id="261" w:name="_Toc132510640"/>
      <w:bookmarkStart w:id="262" w:name="_Toc132510885"/>
      <w:bookmarkStart w:id="263" w:name="_Toc132510998"/>
      <w:bookmarkEnd w:id="258"/>
      <w:bookmarkEnd w:id="259"/>
      <w:bookmarkEnd w:id="260"/>
      <w:bookmarkEnd w:id="261"/>
      <w:bookmarkEnd w:id="262"/>
      <w:bookmarkEnd w:id="263"/>
    </w:p>
    <w:p w14:paraId="2B8349C1"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264" w:name="_Toc132508939"/>
      <w:bookmarkStart w:id="265" w:name="_Toc132510408"/>
      <w:bookmarkStart w:id="266" w:name="_Toc132510526"/>
      <w:bookmarkStart w:id="267" w:name="_Toc132510641"/>
      <w:bookmarkStart w:id="268" w:name="_Toc132510886"/>
      <w:bookmarkStart w:id="269" w:name="_Toc132510999"/>
      <w:bookmarkEnd w:id="264"/>
      <w:bookmarkEnd w:id="265"/>
      <w:bookmarkEnd w:id="266"/>
      <w:bookmarkEnd w:id="267"/>
      <w:bookmarkEnd w:id="268"/>
      <w:bookmarkEnd w:id="269"/>
    </w:p>
    <w:p w14:paraId="39701181"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270" w:name="_Toc132508940"/>
      <w:bookmarkStart w:id="271" w:name="_Toc132510409"/>
      <w:bookmarkStart w:id="272" w:name="_Toc132510527"/>
      <w:bookmarkStart w:id="273" w:name="_Toc132510642"/>
      <w:bookmarkStart w:id="274" w:name="_Toc132510887"/>
      <w:bookmarkStart w:id="275" w:name="_Toc132511000"/>
      <w:bookmarkEnd w:id="270"/>
      <w:bookmarkEnd w:id="271"/>
      <w:bookmarkEnd w:id="272"/>
      <w:bookmarkEnd w:id="273"/>
      <w:bookmarkEnd w:id="274"/>
      <w:bookmarkEnd w:id="275"/>
    </w:p>
    <w:p w14:paraId="40E65DAF"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276" w:name="_Toc132508941"/>
      <w:bookmarkStart w:id="277" w:name="_Toc132510410"/>
      <w:bookmarkStart w:id="278" w:name="_Toc132510528"/>
      <w:bookmarkStart w:id="279" w:name="_Toc132510643"/>
      <w:bookmarkStart w:id="280" w:name="_Toc132510888"/>
      <w:bookmarkStart w:id="281" w:name="_Toc132511001"/>
      <w:bookmarkEnd w:id="276"/>
      <w:bookmarkEnd w:id="277"/>
      <w:bookmarkEnd w:id="278"/>
      <w:bookmarkEnd w:id="279"/>
      <w:bookmarkEnd w:id="280"/>
      <w:bookmarkEnd w:id="281"/>
    </w:p>
    <w:p w14:paraId="2FA2E071"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282" w:name="_Toc132508942"/>
      <w:bookmarkStart w:id="283" w:name="_Toc132510411"/>
      <w:bookmarkStart w:id="284" w:name="_Toc132510529"/>
      <w:bookmarkStart w:id="285" w:name="_Toc132510644"/>
      <w:bookmarkStart w:id="286" w:name="_Toc132510889"/>
      <w:bookmarkStart w:id="287" w:name="_Toc132511002"/>
      <w:bookmarkEnd w:id="282"/>
      <w:bookmarkEnd w:id="283"/>
      <w:bookmarkEnd w:id="284"/>
      <w:bookmarkEnd w:id="285"/>
      <w:bookmarkEnd w:id="286"/>
      <w:bookmarkEnd w:id="287"/>
    </w:p>
    <w:p w14:paraId="225DB944"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288" w:name="_Toc132508943"/>
      <w:bookmarkStart w:id="289" w:name="_Toc132510412"/>
      <w:bookmarkStart w:id="290" w:name="_Toc132510530"/>
      <w:bookmarkStart w:id="291" w:name="_Toc132510645"/>
      <w:bookmarkStart w:id="292" w:name="_Toc132510890"/>
      <w:bookmarkStart w:id="293" w:name="_Toc132511003"/>
      <w:bookmarkEnd w:id="288"/>
      <w:bookmarkEnd w:id="289"/>
      <w:bookmarkEnd w:id="290"/>
      <w:bookmarkEnd w:id="291"/>
      <w:bookmarkEnd w:id="292"/>
      <w:bookmarkEnd w:id="293"/>
    </w:p>
    <w:p w14:paraId="11195554"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294" w:name="_Toc132508944"/>
      <w:bookmarkStart w:id="295" w:name="_Toc132510413"/>
      <w:bookmarkStart w:id="296" w:name="_Toc132510531"/>
      <w:bookmarkStart w:id="297" w:name="_Toc132510646"/>
      <w:bookmarkStart w:id="298" w:name="_Toc132510891"/>
      <w:bookmarkStart w:id="299" w:name="_Toc132511004"/>
      <w:bookmarkEnd w:id="294"/>
      <w:bookmarkEnd w:id="295"/>
      <w:bookmarkEnd w:id="296"/>
      <w:bookmarkEnd w:id="297"/>
      <w:bookmarkEnd w:id="298"/>
      <w:bookmarkEnd w:id="299"/>
    </w:p>
    <w:p w14:paraId="405BA9C2"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300" w:name="_Toc132508945"/>
      <w:bookmarkStart w:id="301" w:name="_Toc132510414"/>
      <w:bookmarkStart w:id="302" w:name="_Toc132510532"/>
      <w:bookmarkStart w:id="303" w:name="_Toc132510647"/>
      <w:bookmarkStart w:id="304" w:name="_Toc132510892"/>
      <w:bookmarkStart w:id="305" w:name="_Toc132511005"/>
      <w:bookmarkEnd w:id="300"/>
      <w:bookmarkEnd w:id="301"/>
      <w:bookmarkEnd w:id="302"/>
      <w:bookmarkEnd w:id="303"/>
      <w:bookmarkEnd w:id="304"/>
      <w:bookmarkEnd w:id="305"/>
    </w:p>
    <w:p w14:paraId="7B0BC9BC"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306" w:name="_Toc132508946"/>
      <w:bookmarkStart w:id="307" w:name="_Toc132510415"/>
      <w:bookmarkStart w:id="308" w:name="_Toc132510533"/>
      <w:bookmarkStart w:id="309" w:name="_Toc132510648"/>
      <w:bookmarkStart w:id="310" w:name="_Toc132510893"/>
      <w:bookmarkStart w:id="311" w:name="_Toc132511006"/>
      <w:bookmarkEnd w:id="306"/>
      <w:bookmarkEnd w:id="307"/>
      <w:bookmarkEnd w:id="308"/>
      <w:bookmarkEnd w:id="309"/>
      <w:bookmarkEnd w:id="310"/>
      <w:bookmarkEnd w:id="311"/>
    </w:p>
    <w:p w14:paraId="5A712232"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312" w:name="_Toc132508947"/>
      <w:bookmarkStart w:id="313" w:name="_Toc132510416"/>
      <w:bookmarkStart w:id="314" w:name="_Toc132510534"/>
      <w:bookmarkStart w:id="315" w:name="_Toc132510649"/>
      <w:bookmarkStart w:id="316" w:name="_Toc132510894"/>
      <w:bookmarkStart w:id="317" w:name="_Toc132511007"/>
      <w:bookmarkEnd w:id="312"/>
      <w:bookmarkEnd w:id="313"/>
      <w:bookmarkEnd w:id="314"/>
      <w:bookmarkEnd w:id="315"/>
      <w:bookmarkEnd w:id="316"/>
      <w:bookmarkEnd w:id="317"/>
    </w:p>
    <w:p w14:paraId="60B8DC24"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318" w:name="_Toc132508948"/>
      <w:bookmarkStart w:id="319" w:name="_Toc132510417"/>
      <w:bookmarkStart w:id="320" w:name="_Toc132510535"/>
      <w:bookmarkStart w:id="321" w:name="_Toc132510650"/>
      <w:bookmarkStart w:id="322" w:name="_Toc132510895"/>
      <w:bookmarkStart w:id="323" w:name="_Toc132511008"/>
      <w:bookmarkEnd w:id="318"/>
      <w:bookmarkEnd w:id="319"/>
      <w:bookmarkEnd w:id="320"/>
      <w:bookmarkEnd w:id="321"/>
      <w:bookmarkEnd w:id="322"/>
      <w:bookmarkEnd w:id="323"/>
    </w:p>
    <w:p w14:paraId="38894908"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324" w:name="_Toc132508949"/>
      <w:bookmarkStart w:id="325" w:name="_Toc132510418"/>
      <w:bookmarkStart w:id="326" w:name="_Toc132510536"/>
      <w:bookmarkStart w:id="327" w:name="_Toc132510651"/>
      <w:bookmarkStart w:id="328" w:name="_Toc132510896"/>
      <w:bookmarkStart w:id="329" w:name="_Toc132511009"/>
      <w:bookmarkEnd w:id="324"/>
      <w:bookmarkEnd w:id="325"/>
      <w:bookmarkEnd w:id="326"/>
      <w:bookmarkEnd w:id="327"/>
      <w:bookmarkEnd w:id="328"/>
      <w:bookmarkEnd w:id="329"/>
    </w:p>
    <w:p w14:paraId="39370F85"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330" w:name="_Toc132508950"/>
      <w:bookmarkStart w:id="331" w:name="_Toc132510419"/>
      <w:bookmarkStart w:id="332" w:name="_Toc132510537"/>
      <w:bookmarkStart w:id="333" w:name="_Toc132510652"/>
      <w:bookmarkStart w:id="334" w:name="_Toc132510897"/>
      <w:bookmarkStart w:id="335" w:name="_Toc132511010"/>
      <w:bookmarkEnd w:id="330"/>
      <w:bookmarkEnd w:id="331"/>
      <w:bookmarkEnd w:id="332"/>
      <w:bookmarkEnd w:id="333"/>
      <w:bookmarkEnd w:id="334"/>
      <w:bookmarkEnd w:id="335"/>
    </w:p>
    <w:p w14:paraId="140B00F6"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336" w:name="_Toc132508951"/>
      <w:bookmarkStart w:id="337" w:name="_Toc132510420"/>
      <w:bookmarkStart w:id="338" w:name="_Toc132510538"/>
      <w:bookmarkStart w:id="339" w:name="_Toc132510653"/>
      <w:bookmarkStart w:id="340" w:name="_Toc132510898"/>
      <w:bookmarkStart w:id="341" w:name="_Toc132511011"/>
      <w:bookmarkEnd w:id="336"/>
      <w:bookmarkEnd w:id="337"/>
      <w:bookmarkEnd w:id="338"/>
      <w:bookmarkEnd w:id="339"/>
      <w:bookmarkEnd w:id="340"/>
      <w:bookmarkEnd w:id="341"/>
    </w:p>
    <w:p w14:paraId="3356DE76" w14:textId="77777777" w:rsidR="00AE5A25" w:rsidRPr="00AE5A25" w:rsidRDefault="00AE5A25" w:rsidP="00DD30C9">
      <w:pPr>
        <w:pStyle w:val="Prrafodelista"/>
        <w:numPr>
          <w:ilvl w:val="0"/>
          <w:numId w:val="32"/>
        </w:numPr>
        <w:shd w:val="clear" w:color="auto" w:fill="D9E2F3"/>
        <w:spacing w:before="120"/>
        <w:ind w:hanging="1637"/>
        <w:jc w:val="both"/>
        <w:outlineLvl w:val="0"/>
        <w:rPr>
          <w:b/>
          <w:vanish/>
          <w:sz w:val="24"/>
          <w:szCs w:val="24"/>
        </w:rPr>
      </w:pPr>
      <w:bookmarkStart w:id="342" w:name="_Toc132508952"/>
      <w:bookmarkStart w:id="343" w:name="_Toc132510421"/>
      <w:bookmarkStart w:id="344" w:name="_Toc132510539"/>
      <w:bookmarkStart w:id="345" w:name="_Toc132510654"/>
      <w:bookmarkStart w:id="346" w:name="_Toc132510899"/>
      <w:bookmarkStart w:id="347" w:name="_Toc132511012"/>
      <w:bookmarkEnd w:id="342"/>
      <w:bookmarkEnd w:id="343"/>
      <w:bookmarkEnd w:id="344"/>
      <w:bookmarkEnd w:id="345"/>
      <w:bookmarkEnd w:id="346"/>
      <w:bookmarkEnd w:id="347"/>
    </w:p>
    <w:p w14:paraId="638807C4" w14:textId="043344C0" w:rsidR="00AE5A25" w:rsidRPr="003A3EF0" w:rsidRDefault="00AE5A25" w:rsidP="00DD30C9">
      <w:pPr>
        <w:pStyle w:val="Prrafodelista"/>
        <w:numPr>
          <w:ilvl w:val="0"/>
          <w:numId w:val="32"/>
        </w:numPr>
        <w:shd w:val="clear" w:color="auto" w:fill="D9E2F3"/>
        <w:spacing w:before="120"/>
        <w:ind w:hanging="1637"/>
        <w:jc w:val="both"/>
        <w:outlineLvl w:val="0"/>
        <w:rPr>
          <w:b/>
          <w:sz w:val="24"/>
          <w:szCs w:val="24"/>
        </w:rPr>
      </w:pPr>
      <w:bookmarkStart w:id="348" w:name="_Toc132511013"/>
      <w:bookmarkEnd w:id="172"/>
      <w:r>
        <w:rPr>
          <w:b/>
          <w:sz w:val="24"/>
          <w:szCs w:val="24"/>
        </w:rPr>
        <w:t>Inadecuada</w:t>
      </w:r>
      <w:r w:rsidRPr="003A3EF0">
        <w:rPr>
          <w:b/>
          <w:sz w:val="24"/>
          <w:szCs w:val="24"/>
        </w:rPr>
        <w:t xml:space="preserve"> avaliación </w:t>
      </w:r>
      <w:r>
        <w:rPr>
          <w:b/>
          <w:sz w:val="24"/>
          <w:szCs w:val="24"/>
        </w:rPr>
        <w:t>dos</w:t>
      </w:r>
      <w:r w:rsidRPr="003A3EF0">
        <w:rPr>
          <w:b/>
          <w:sz w:val="24"/>
          <w:szCs w:val="24"/>
        </w:rPr>
        <w:t xml:space="preserve"> efectos </w:t>
      </w:r>
      <w:r>
        <w:rPr>
          <w:b/>
          <w:sz w:val="24"/>
          <w:szCs w:val="24"/>
        </w:rPr>
        <w:t>sobre a</w:t>
      </w:r>
      <w:r w:rsidRPr="003A3EF0">
        <w:rPr>
          <w:b/>
          <w:sz w:val="24"/>
          <w:szCs w:val="24"/>
        </w:rPr>
        <w:t xml:space="preserve"> avifauna</w:t>
      </w:r>
      <w:bookmarkEnd w:id="348"/>
    </w:p>
    <w:bookmarkEnd w:id="173"/>
    <w:p w14:paraId="1A59472A" w14:textId="77777777" w:rsidR="00B063F6" w:rsidRDefault="00B063F6" w:rsidP="00B063F6">
      <w:pPr>
        <w:spacing w:before="120" w:after="0" w:line="240" w:lineRule="auto"/>
        <w:jc w:val="both"/>
        <w:rPr>
          <w:i/>
          <w:iCs/>
          <w:sz w:val="24"/>
          <w:szCs w:val="24"/>
        </w:rPr>
      </w:pPr>
      <w:r>
        <w:rPr>
          <w:sz w:val="24"/>
          <w:szCs w:val="24"/>
        </w:rPr>
        <w:t xml:space="preserve">A identificación das especies de aves levouse a cabo de xeito inadecuado (observación directa dende 4 puntos de observación e ó longo de tan só un transecto) en relación á gran superficie afectada pola poligonal do PE. Como resultado omítese un gran número de especies potencialmente afectadas. </w:t>
      </w:r>
    </w:p>
    <w:p w14:paraId="6E0BDA97" w14:textId="77777777" w:rsidR="00B063F6" w:rsidRDefault="00B063F6" w:rsidP="00B063F6">
      <w:pPr>
        <w:autoSpaceDE w:val="0"/>
        <w:autoSpaceDN w:val="0"/>
        <w:adjustRightInd w:val="0"/>
        <w:spacing w:before="120" w:after="0" w:line="240" w:lineRule="auto"/>
        <w:jc w:val="both"/>
        <w:rPr>
          <w:sz w:val="24"/>
          <w:szCs w:val="24"/>
        </w:rPr>
      </w:pPr>
      <w:bookmarkStart w:id="349" w:name="_Hlk91687836"/>
      <w:r>
        <w:rPr>
          <w:sz w:val="24"/>
          <w:szCs w:val="24"/>
        </w:rPr>
        <w:t>O estudo de aves non ten en conta os potenciais efectos sobre aves cun elevado Índice de Sensibilidade de Rapaces tales como o falcón peregrino (</w:t>
      </w:r>
      <w:r>
        <w:rPr>
          <w:i/>
          <w:sz w:val="24"/>
          <w:szCs w:val="24"/>
        </w:rPr>
        <w:t>Falco peregrinus</w:t>
      </w:r>
      <w:r>
        <w:rPr>
          <w:sz w:val="24"/>
          <w:szCs w:val="24"/>
        </w:rPr>
        <w:t>) e para a culebreira europea (</w:t>
      </w:r>
      <w:r>
        <w:rPr>
          <w:i/>
          <w:sz w:val="24"/>
          <w:szCs w:val="24"/>
        </w:rPr>
        <w:t>Circaetus gallicus</w:t>
      </w:r>
      <w:r>
        <w:rPr>
          <w:sz w:val="24"/>
          <w:szCs w:val="24"/>
        </w:rPr>
        <w:t xml:space="preserve">), ambas especies incluidas no ANEXO I da Directiva Aves e ambas con poboacións reducidas en Galicia e presentes na área de implantación do PE. Recentemente, algúns autores demostraron que existen algunas debilidades nos métodos habitualmente empregados nos estudos de avaliación de riscos de parques eólicos. En xeral, estes estudos asumen unha </w:t>
      </w:r>
      <w:r>
        <w:rPr>
          <w:sz w:val="24"/>
          <w:szCs w:val="24"/>
        </w:rPr>
        <w:lastRenderedPageBreak/>
        <w:t xml:space="preserve">relación lineal entre a frecuencia de aves observadas na área do PE e as mortes das aves por colisión. Porén, existe unha evidencia clara de que a probabilidade de colisión de aves con turbinas depende fundamentalmente do comportamiento das especies e de factores topográficos, e non só da abundancia local. A principal razón é que as aves non se moven sobre o territorio ó azar, senon que seguen as principais correntes de vento que se ven afectadas pola topografía. Consecuentemente, certas ubicacións de turbinas eólicas poden ser moi perigosas incluso ainda que unha densidade relativamente baixa de aves crucen a área mentras que outras ubicacións poderían ser moi seguras incluso con maiores densidades de aves. Estes datos deafían o suposto principal do estudo de impacto ambiental dos PEs. Se os factores relevantes que afectan á frecuencia de colisións coas pás do rotor da turbina están operando á escala da turbina individual, e non á escala completa do PE, </w:t>
      </w:r>
      <w:r>
        <w:rPr>
          <w:b/>
          <w:bCs/>
          <w:sz w:val="24"/>
          <w:szCs w:val="24"/>
        </w:rPr>
        <w:t>as avaliacións do impacto ambiental deben centrarse no nivel das turbinas individuais propostas</w:t>
      </w:r>
      <w:r>
        <w:rPr>
          <w:sz w:val="24"/>
          <w:szCs w:val="24"/>
        </w:rPr>
        <w:t>. De feito, a variación das taxas de mortalidade entre turbinas eólicas dentro do mesmo PE duplica á variación entre PEs. A concentración de vitimas por colisión nalgunhas turbinas dun parque eólico, mentras que cerca doutras turbinas que semellan similares non incurren en mortes, indica que a “selección do sitio” para as turbinas pode desempeñar o papel máis importante para limitar o número de vítimas mortais por colisión.</w:t>
      </w:r>
      <w:bookmarkEnd w:id="349"/>
    </w:p>
    <w:p w14:paraId="57CDC5DF" w14:textId="77777777" w:rsidR="00B063F6" w:rsidRDefault="00B063F6" w:rsidP="00B063F6">
      <w:pPr>
        <w:spacing w:before="120" w:after="0" w:line="240" w:lineRule="auto"/>
        <w:jc w:val="both"/>
        <w:rPr>
          <w:sz w:val="24"/>
          <w:szCs w:val="24"/>
        </w:rPr>
      </w:pPr>
      <w:r>
        <w:rPr>
          <w:sz w:val="24"/>
          <w:szCs w:val="24"/>
        </w:rPr>
        <w:t xml:space="preserve">Non se ten en conta nin a presencia nin a afección a </w:t>
      </w:r>
      <w:r>
        <w:rPr>
          <w:i/>
          <w:iCs/>
          <w:sz w:val="24"/>
          <w:szCs w:val="24"/>
        </w:rPr>
        <w:t>Circus Cyaneus</w:t>
      </w:r>
      <w:r>
        <w:rPr>
          <w:sz w:val="24"/>
          <w:szCs w:val="24"/>
        </w:rPr>
        <w:t>. Cando se emitíu a DIA de 16 de decembro de 2011 para o PE Albariño I próximo ao Torroña I, sí que existía esta especie na zona do parque eólico. Así na DIA, no Apartado 6 “Protección da fauna, vexetación e hábitats naturais” “6.1. Sobre a fauna” dise:</w:t>
      </w:r>
    </w:p>
    <w:p w14:paraId="0C2CCEF6" w14:textId="77777777" w:rsidR="00B063F6" w:rsidRDefault="00B063F6" w:rsidP="00B063F6">
      <w:pPr>
        <w:spacing w:before="120" w:after="0" w:line="240" w:lineRule="auto"/>
        <w:ind w:left="567" w:right="284"/>
        <w:jc w:val="both"/>
        <w:rPr>
          <w:rFonts w:cs="Calibri"/>
          <w:bCs/>
          <w:i/>
          <w:noProof/>
          <w:lang w:eastAsia="es-ES"/>
        </w:rPr>
      </w:pPr>
      <w:r>
        <w:rPr>
          <w:rFonts w:cs="Calibri"/>
          <w:bCs/>
          <w:i/>
        </w:rPr>
        <w:t>“</w:t>
      </w:r>
      <w:r>
        <w:rPr>
          <w:rFonts w:cs="Calibri"/>
          <w:bCs/>
          <w:i/>
          <w:u w:val="single"/>
        </w:rPr>
        <w:t>Dado que entre as aves rapaces inventariadas na área do parque figura a Gatafornela Circus cyaneus</w:t>
      </w:r>
      <w:r>
        <w:rPr>
          <w:rFonts w:cs="Calibri"/>
          <w:bCs/>
          <w:i/>
        </w:rPr>
        <w:t xml:space="preserve"> (catalogada como vulnerable no Catálogo galego de especies ameazadas), que nidifica sobre o solo en ambientes de matogueira e polo tanto é susceptible de verse afectada polas obras, previamente aos labores de roza da matogueira levaranse a cabo as comprobacións necesarias para determinar a existencia ou non de parellas reprodutoras na área de afección directa das infraestruturas e instalacións do parque”.</w:t>
      </w:r>
    </w:p>
    <w:p w14:paraId="2E0C69C4" w14:textId="77777777" w:rsidR="00B063F6" w:rsidRDefault="00B063F6" w:rsidP="00B063F6">
      <w:pPr>
        <w:spacing w:after="0" w:line="240" w:lineRule="auto"/>
        <w:rPr>
          <w:rFonts w:cs="Arial"/>
          <w:b/>
          <w:noProof/>
          <w:sz w:val="24"/>
          <w:szCs w:val="24"/>
          <w:lang w:eastAsia="es-ES"/>
        </w:rPr>
      </w:pPr>
    </w:p>
    <w:p w14:paraId="2D425919" w14:textId="77777777" w:rsidR="00B063F6" w:rsidRDefault="00B063F6" w:rsidP="00B063F6">
      <w:pPr>
        <w:spacing w:before="120" w:after="0" w:line="240" w:lineRule="auto"/>
        <w:jc w:val="both"/>
        <w:rPr>
          <w:sz w:val="24"/>
          <w:szCs w:val="24"/>
        </w:rPr>
      </w:pPr>
      <w:r>
        <w:rPr>
          <w:sz w:val="24"/>
          <w:szCs w:val="24"/>
        </w:rPr>
        <w:t>No punto 9.2.2 da DIA de decembro de 2011 dise:</w:t>
      </w:r>
    </w:p>
    <w:p w14:paraId="6560E634" w14:textId="77777777" w:rsidR="00B063F6" w:rsidRDefault="00B063F6" w:rsidP="00B063F6">
      <w:pPr>
        <w:spacing w:before="120" w:after="0" w:line="240" w:lineRule="auto"/>
        <w:ind w:left="567" w:right="284"/>
        <w:jc w:val="both"/>
        <w:rPr>
          <w:rFonts w:cs="Calibri"/>
          <w:bCs/>
          <w:i/>
        </w:rPr>
      </w:pPr>
      <w:r>
        <w:rPr>
          <w:rFonts w:cs="Calibri"/>
          <w:bCs/>
          <w:i/>
        </w:rPr>
        <w:t>“Na elaboración e posterior desenvolvemento dos plans de seguimento de avifauna, quirópteros e demais fauna aos que se fai referencia no punto 6.1 da DIA, teranse en conta as seguintes consideración…</w:t>
      </w:r>
    </w:p>
    <w:p w14:paraId="516C35BA" w14:textId="77777777" w:rsidR="00B063F6" w:rsidRDefault="00B063F6" w:rsidP="00B063F6">
      <w:pPr>
        <w:spacing w:before="120" w:after="0" w:line="240" w:lineRule="auto"/>
        <w:jc w:val="both"/>
        <w:rPr>
          <w:sz w:val="24"/>
          <w:szCs w:val="24"/>
        </w:rPr>
      </w:pPr>
      <w:r>
        <w:rPr>
          <w:sz w:val="24"/>
          <w:szCs w:val="24"/>
        </w:rPr>
        <w:t>Ou</w:t>
      </w:r>
    </w:p>
    <w:p w14:paraId="3F55FC6F" w14:textId="77777777" w:rsidR="00B063F6" w:rsidRDefault="00B063F6" w:rsidP="00B063F6">
      <w:pPr>
        <w:spacing w:before="120" w:after="0" w:line="240" w:lineRule="auto"/>
        <w:ind w:left="567" w:right="284"/>
        <w:jc w:val="both"/>
        <w:rPr>
          <w:rFonts w:cs="Calibri"/>
          <w:bCs/>
          <w:i/>
        </w:rPr>
      </w:pPr>
      <w:r>
        <w:rPr>
          <w:rFonts w:cs="Calibri"/>
          <w:bCs/>
          <w:i/>
        </w:rPr>
        <w:t>Tal e como se desprende do punto 9.1.- Aspectos Xerais, deberán incorporarse ao plan os controis oportunos que se derivan das cuestións sinaladas no punto 6.1 (control de nidificación de Circus cyaneus, aves rapaces que aniñan en árbores, outra fauna de interese, etc.)”.</w:t>
      </w:r>
    </w:p>
    <w:p w14:paraId="60C1FC53" w14:textId="77777777" w:rsidR="00B063F6" w:rsidRDefault="00B063F6" w:rsidP="00B063F6">
      <w:pPr>
        <w:spacing w:before="120" w:after="0" w:line="240" w:lineRule="auto"/>
        <w:jc w:val="both"/>
        <w:rPr>
          <w:sz w:val="24"/>
          <w:szCs w:val="24"/>
        </w:rPr>
      </w:pPr>
      <w:r>
        <w:rPr>
          <w:sz w:val="24"/>
          <w:szCs w:val="24"/>
        </w:rPr>
        <w:t xml:space="preserve">Pois ben, resulta que no EsIA </w:t>
      </w:r>
      <w:r>
        <w:rPr>
          <w:i/>
          <w:sz w:val="24"/>
          <w:szCs w:val="24"/>
        </w:rPr>
        <w:t>Circus cyaneus</w:t>
      </w:r>
      <w:r>
        <w:rPr>
          <w:sz w:val="24"/>
          <w:szCs w:val="24"/>
        </w:rPr>
        <w:t xml:space="preserve"> non se cita no ámbito do PE, contradicindo así a DIA de decembro de 2011.</w:t>
      </w:r>
    </w:p>
    <w:p w14:paraId="0CF9D95E" w14:textId="77777777" w:rsidR="00B063F6" w:rsidRDefault="00B063F6" w:rsidP="00B063F6">
      <w:pPr>
        <w:spacing w:before="120" w:after="0" w:line="240" w:lineRule="auto"/>
        <w:jc w:val="both"/>
        <w:rPr>
          <w:sz w:val="24"/>
          <w:szCs w:val="24"/>
          <w:shd w:val="clear" w:color="auto" w:fill="FFFFFF"/>
          <w:lang w:eastAsia="es-ES"/>
        </w:rPr>
      </w:pPr>
      <w:r>
        <w:rPr>
          <w:sz w:val="24"/>
          <w:szCs w:val="24"/>
        </w:rPr>
        <w:t xml:space="preserve">O Estudo de aves e quirópteros destaca unha importante comunidade de </w:t>
      </w:r>
      <w:r>
        <w:rPr>
          <w:b/>
          <w:bCs/>
          <w:sz w:val="24"/>
          <w:szCs w:val="24"/>
        </w:rPr>
        <w:t>paseriformes</w:t>
      </w:r>
      <w:r>
        <w:rPr>
          <w:sz w:val="24"/>
          <w:szCs w:val="24"/>
        </w:rPr>
        <w:t xml:space="preserve">, porén, apenas identifica a presencia de </w:t>
      </w:r>
      <w:r>
        <w:rPr>
          <w:b/>
          <w:bCs/>
          <w:sz w:val="24"/>
          <w:szCs w:val="24"/>
        </w:rPr>
        <w:t>aves migratorias</w:t>
      </w:r>
      <w:r>
        <w:rPr>
          <w:sz w:val="24"/>
          <w:szCs w:val="24"/>
        </w:rPr>
        <w:t xml:space="preserve"> e </w:t>
      </w:r>
      <w:r>
        <w:rPr>
          <w:b/>
          <w:bCs/>
          <w:sz w:val="24"/>
          <w:szCs w:val="24"/>
        </w:rPr>
        <w:t xml:space="preserve">rapaces nocturnas, </w:t>
      </w:r>
      <w:r>
        <w:rPr>
          <w:sz w:val="24"/>
          <w:szCs w:val="24"/>
        </w:rPr>
        <w:t>incluso nos últimos anos tense documentado o avistamento cada vez máis frecuente de</w:t>
      </w:r>
      <w:r>
        <w:rPr>
          <w:b/>
          <w:bCs/>
          <w:sz w:val="24"/>
          <w:szCs w:val="24"/>
        </w:rPr>
        <w:t xml:space="preserve"> </w:t>
      </w:r>
      <w:r>
        <w:rPr>
          <w:i/>
          <w:iCs/>
          <w:sz w:val="24"/>
          <w:szCs w:val="24"/>
        </w:rPr>
        <w:t xml:space="preserve">Gyps fulvus, </w:t>
      </w:r>
      <w:r>
        <w:rPr>
          <w:sz w:val="24"/>
          <w:szCs w:val="24"/>
        </w:rPr>
        <w:t xml:space="preserve">especie que tampouco se considerou no EsIA. Asemade, o inadecuado estudo de campo realizado non permite coñecer os efectivos poboacionais, os usos do espazo e do hábitat na zona, as zonas de cría, alimentación ou campeo, durmidoiros, rutas de paso migratorio, movementos estacionais ou desplazamentos diarios, tal e como se establecía na </w:t>
      </w:r>
      <w:r>
        <w:rPr>
          <w:sz w:val="24"/>
          <w:szCs w:val="24"/>
          <w:shd w:val="clear" w:color="auto" w:fill="FFFFFF"/>
          <w:lang w:eastAsia="es-ES"/>
        </w:rPr>
        <w:t xml:space="preserve">DIA formulada pola Secretaría Xeral de Calidade e Avaliación Ambiental en data 16 de decembro de 2011, relativa ao proxecto do PE Albariño I. Sen este </w:t>
      </w:r>
      <w:r>
        <w:rPr>
          <w:sz w:val="24"/>
          <w:szCs w:val="24"/>
          <w:shd w:val="clear" w:color="auto" w:fill="FFFFFF"/>
          <w:lang w:eastAsia="es-ES"/>
        </w:rPr>
        <w:lastRenderedPageBreak/>
        <w:t>necesario coñecemento previo, é imposible avaliar correctamente os efectos do PE sobre a comunidade de aves.</w:t>
      </w:r>
    </w:p>
    <w:p w14:paraId="68149D20" w14:textId="77777777" w:rsidR="00B063F6" w:rsidRDefault="00B063F6" w:rsidP="00B063F6">
      <w:pPr>
        <w:spacing w:before="120" w:after="0" w:line="240" w:lineRule="auto"/>
        <w:jc w:val="both"/>
        <w:rPr>
          <w:sz w:val="24"/>
          <w:szCs w:val="24"/>
          <w:shd w:val="clear" w:color="auto" w:fill="FFFFFF"/>
          <w:lang w:eastAsia="es-ES"/>
        </w:rPr>
      </w:pPr>
      <w:r>
        <w:rPr>
          <w:sz w:val="24"/>
          <w:szCs w:val="24"/>
          <w:shd w:val="clear" w:color="auto" w:fill="FFFFFF"/>
          <w:lang w:eastAsia="es-ES"/>
        </w:rPr>
        <w:t>Todo novo proxecto de parque eólico debe ir precedido por un estudo detallado do comportamento das aves no lugar preciso onde se propón a súa construción, o que permite mellorar o seu deseño con obxecto de minimizar a probabilidade de mortalidade de aves por colisión cos aeroxeradores. Como xa se dixo, o EsIA preséntase sen ter finalizado o estudo completo de aves e quirópetros.</w:t>
      </w:r>
    </w:p>
    <w:p w14:paraId="79DCB461" w14:textId="77777777" w:rsidR="00B063F6" w:rsidRDefault="00B063F6" w:rsidP="00B063F6">
      <w:pPr>
        <w:spacing w:before="120" w:after="0" w:line="240" w:lineRule="auto"/>
        <w:jc w:val="both"/>
        <w:rPr>
          <w:sz w:val="24"/>
          <w:szCs w:val="24"/>
          <w:shd w:val="clear" w:color="auto" w:fill="FFFFFF"/>
          <w:lang w:eastAsia="es-ES"/>
        </w:rPr>
      </w:pPr>
      <w:r>
        <w:rPr>
          <w:sz w:val="24"/>
          <w:szCs w:val="24"/>
        </w:rPr>
        <w:t>A distancia dos aeroxeradores ás áreas de nidificación máis cercanas, en inglés “</w:t>
      </w:r>
      <w:r>
        <w:rPr>
          <w:i/>
          <w:iCs/>
          <w:sz w:val="24"/>
          <w:szCs w:val="24"/>
        </w:rPr>
        <w:t>nearest neighbour distances</w:t>
      </w:r>
      <w:r>
        <w:rPr>
          <w:sz w:val="24"/>
          <w:szCs w:val="24"/>
        </w:rPr>
        <w:t>“ (NND), foi empregada para avaliar o risco das instalación eólicas. O emprego do NND pode axudar a reducir o potencial conflicto entre os PEs e a conservación de especies, mitigando os riscos de colisión ou desprazamento de territorio. O uso de NND e áreas de buffer xa foi empregado en varios traballos científicos para calcular o risco potencial de parques eólicos, porén, esta variable non se empregou no EsIA do PE Albariño I.</w:t>
      </w:r>
    </w:p>
    <w:p w14:paraId="2300F2B0" w14:textId="77777777" w:rsidR="00B063F6" w:rsidRDefault="00B063F6" w:rsidP="00B063F6">
      <w:pPr>
        <w:spacing w:before="120" w:after="0" w:line="240" w:lineRule="auto"/>
        <w:jc w:val="both"/>
        <w:rPr>
          <w:sz w:val="24"/>
          <w:szCs w:val="24"/>
        </w:rPr>
      </w:pPr>
      <w:r>
        <w:rPr>
          <w:sz w:val="24"/>
          <w:szCs w:val="24"/>
        </w:rPr>
        <w:t>A observación directa pode conducir a resultados sesgados e conclusións erróneas, especialmente en especies con baixas densidades e/ou comportamento discreto, como é o caso de aves rapaces diurnas e nocturnas. A literatura científica recomenda empregar o que se denomina “</w:t>
      </w:r>
      <w:r>
        <w:rPr>
          <w:i/>
          <w:iCs/>
          <w:sz w:val="24"/>
          <w:szCs w:val="24"/>
        </w:rPr>
        <w:t>sensor-data tools</w:t>
      </w:r>
      <w:r>
        <w:rPr>
          <w:sz w:val="24"/>
          <w:szCs w:val="24"/>
        </w:rPr>
        <w:t>”, como radares, telemetría, etc, que son consideradas ferramentas moito máis adecuadas para obter datos máis fiables, máis estandarizados e con maior grao de precisión.</w:t>
      </w:r>
    </w:p>
    <w:p w14:paraId="766B10BE" w14:textId="77777777" w:rsidR="00B063F6" w:rsidRDefault="00B063F6" w:rsidP="00B063F6">
      <w:pPr>
        <w:spacing w:before="120" w:after="0" w:line="240" w:lineRule="auto"/>
        <w:jc w:val="both"/>
        <w:rPr>
          <w:sz w:val="24"/>
          <w:szCs w:val="24"/>
        </w:rPr>
      </w:pPr>
      <w:r>
        <w:rPr>
          <w:sz w:val="24"/>
          <w:szCs w:val="24"/>
        </w:rPr>
        <w:t>A telemetría (incluido o seguemento con GPS) foi sinalada como a ferramenta máis poderosa para analizar o impacto dos parques eólicos sobre a avifauna, sendo polo tanto considerada unha metodoloxía moito máis eficaz e fiable para valorar o impacto que as observación directas de campo dende puntos de observación e/ou transectos.</w:t>
      </w:r>
    </w:p>
    <w:p w14:paraId="046E3BD1" w14:textId="77777777" w:rsidR="00B063F6" w:rsidRDefault="00B063F6" w:rsidP="00B063F6">
      <w:pPr>
        <w:spacing w:before="120" w:after="0" w:line="240" w:lineRule="auto"/>
        <w:jc w:val="both"/>
        <w:rPr>
          <w:sz w:val="24"/>
          <w:szCs w:val="24"/>
        </w:rPr>
      </w:pPr>
      <w:r>
        <w:rPr>
          <w:sz w:val="24"/>
          <w:szCs w:val="24"/>
        </w:rPr>
        <w:t>Algúns estudos científicos teñen demostrado que as aves en voo cambiaron a súa dirección de voo ao detectar as turbinas na cima das montañas. Tamén chegaron á conclusión de que as liñas de turbinas poderían actuar como barreiras físicas nas rutas de desprazamento. As alturas de voo diferían entre a entrada e a saída do parque eólico, tal vez nun esforzo para evitar as turbinas.</w:t>
      </w:r>
    </w:p>
    <w:p w14:paraId="13F97EE5" w14:textId="77777777" w:rsidR="00B063F6" w:rsidRDefault="00B063F6" w:rsidP="00B063F6">
      <w:pPr>
        <w:spacing w:before="120" w:after="0" w:line="240" w:lineRule="auto"/>
        <w:jc w:val="both"/>
        <w:rPr>
          <w:sz w:val="24"/>
          <w:szCs w:val="24"/>
        </w:rPr>
      </w:pPr>
      <w:r>
        <w:rPr>
          <w:sz w:val="24"/>
          <w:szCs w:val="24"/>
        </w:rPr>
        <w:t>Algúns traballos científicos evidencian o impacto negativo dos PEs en aves de pequeño tamaño (</w:t>
      </w:r>
      <w:r>
        <w:rPr>
          <w:b/>
          <w:bCs/>
          <w:sz w:val="24"/>
          <w:szCs w:val="24"/>
        </w:rPr>
        <w:t>paseriformes</w:t>
      </w:r>
      <w:r>
        <w:rPr>
          <w:sz w:val="24"/>
          <w:szCs w:val="24"/>
        </w:rPr>
        <w:t>) e proporcionan unha distancia de umbral de 4,5 km que debe ser tida en conta no deseño dos proxectos de enerxía eólica. Para estas especies, algunas investigacións evidenciaron que as colisións ocorreron principalmente durante a migración e afectaron principalmente aos migrantes nocturnos. Máis ben, é probable que un factor importante que inflúa no risco de colisión sexa a visibilidade limitada debido ás condicións meteorolóxicas. A visibilidade local e rexional debe terse en conta en EsIAs e no axuste de sistemas de parada das turbinas eólicas, se fose o caso. Asimesmo, algunas especies amosan sensibilidade frente a turbinas eólicas posiblemente debido á perturbación acústica ocasionada polo enmascaramento das chamadas do cortexo.</w:t>
      </w:r>
    </w:p>
    <w:p w14:paraId="6585D2FB" w14:textId="77777777" w:rsidR="00B063F6" w:rsidRDefault="00B063F6" w:rsidP="00B063F6">
      <w:pPr>
        <w:autoSpaceDE w:val="0"/>
        <w:autoSpaceDN w:val="0"/>
        <w:adjustRightInd w:val="0"/>
        <w:spacing w:before="120" w:after="0" w:line="240" w:lineRule="auto"/>
        <w:jc w:val="both"/>
        <w:rPr>
          <w:sz w:val="24"/>
          <w:szCs w:val="24"/>
        </w:rPr>
      </w:pPr>
      <w:r>
        <w:rPr>
          <w:sz w:val="24"/>
          <w:szCs w:val="24"/>
        </w:rPr>
        <w:t xml:space="preserve">Os efectos sobre as </w:t>
      </w:r>
      <w:r>
        <w:rPr>
          <w:b/>
          <w:bCs/>
          <w:sz w:val="24"/>
          <w:szCs w:val="24"/>
        </w:rPr>
        <w:t>aves migratorias</w:t>
      </w:r>
      <w:r>
        <w:rPr>
          <w:sz w:val="24"/>
          <w:szCs w:val="24"/>
        </w:rPr>
        <w:t xml:space="preserve"> tampouco foron adecuadamente avaliados.</w:t>
      </w:r>
    </w:p>
    <w:p w14:paraId="59FBE570" w14:textId="77777777" w:rsidR="00B063F6" w:rsidRDefault="00B063F6" w:rsidP="00B063F6">
      <w:pPr>
        <w:pStyle w:val="Standard"/>
        <w:spacing w:before="120"/>
        <w:jc w:val="both"/>
        <w:rPr>
          <w:rFonts w:ascii="Calibri" w:hAnsi="Calibri"/>
        </w:rPr>
      </w:pPr>
      <w:r>
        <w:rPr>
          <w:rFonts w:ascii="Calibri" w:hAnsi="Calibri"/>
        </w:rPr>
        <w:t>A Directiva 2009/147/CE do Parlamento Europeo e do Consello, de 30 de novembro de 2009, relativa á conservación das aves silvestres afirma no seu preámbulo:</w:t>
      </w:r>
    </w:p>
    <w:p w14:paraId="2F9DD600" w14:textId="77777777" w:rsidR="00B063F6" w:rsidRDefault="00B063F6" w:rsidP="00B063F6">
      <w:pPr>
        <w:pStyle w:val="Standard"/>
        <w:spacing w:before="120"/>
        <w:ind w:left="567" w:right="567"/>
        <w:jc w:val="both"/>
        <w:rPr>
          <w:rFonts w:ascii="Calibri" w:hAnsi="Calibri"/>
          <w:sz w:val="22"/>
          <w:szCs w:val="22"/>
        </w:rPr>
      </w:pPr>
      <w:r>
        <w:rPr>
          <w:rFonts w:ascii="Calibri" w:hAnsi="Calibri"/>
          <w:i/>
          <w:iCs/>
          <w:sz w:val="22"/>
          <w:szCs w:val="22"/>
        </w:rPr>
        <w:t>“As especies de aves que viven normalmente en estado salvaxe no territorio europeo dos Estados membros son en grande parte especies migratorias. As devanditas especies constitúen un patrimonio común e a protección eficaz das aves constitúe un problema medioambiental tipicamente trasfronteirizo que implica unhas responsabilidades comúns</w:t>
      </w:r>
      <w:r>
        <w:rPr>
          <w:rFonts w:ascii="Calibri" w:hAnsi="Calibri"/>
          <w:sz w:val="22"/>
          <w:szCs w:val="22"/>
        </w:rPr>
        <w:t>”.</w:t>
      </w:r>
    </w:p>
    <w:p w14:paraId="55278F72" w14:textId="77777777" w:rsidR="00B063F6" w:rsidRDefault="00B063F6" w:rsidP="00B063F6">
      <w:pPr>
        <w:pStyle w:val="Standard"/>
        <w:spacing w:before="120"/>
        <w:rPr>
          <w:rFonts w:ascii="Calibri" w:hAnsi="Calibri"/>
        </w:rPr>
      </w:pPr>
      <w:r>
        <w:rPr>
          <w:rFonts w:ascii="Calibri" w:hAnsi="Calibri"/>
        </w:rPr>
        <w:t>Á súa vez, o Artigo 4.1.estabelece que:</w:t>
      </w:r>
    </w:p>
    <w:p w14:paraId="69B6F342" w14:textId="77777777" w:rsidR="00B063F6" w:rsidRDefault="00B063F6" w:rsidP="00B063F6">
      <w:pPr>
        <w:pStyle w:val="Standard"/>
        <w:spacing w:before="120"/>
        <w:ind w:left="567" w:right="567"/>
        <w:jc w:val="both"/>
        <w:rPr>
          <w:sz w:val="22"/>
          <w:szCs w:val="22"/>
        </w:rPr>
      </w:pPr>
      <w:r>
        <w:rPr>
          <w:rFonts w:ascii="Calibri" w:hAnsi="Calibri"/>
          <w:sz w:val="22"/>
          <w:szCs w:val="22"/>
        </w:rPr>
        <w:lastRenderedPageBreak/>
        <w:t>“</w:t>
      </w:r>
      <w:r>
        <w:rPr>
          <w:rFonts w:ascii="Calibri" w:hAnsi="Calibri"/>
          <w:i/>
          <w:iCs/>
          <w:sz w:val="22"/>
          <w:szCs w:val="22"/>
        </w:rPr>
        <w:t>As especies mencionadas no Anexo I serán obxecto de medidas de conservación especiais canto ao seu hábitat, co fin de asegurar a súa supervivencia e a súa reprodución na súa área de distribución</w:t>
      </w:r>
      <w:r>
        <w:rPr>
          <w:rFonts w:ascii="Calibri" w:hAnsi="Calibri"/>
          <w:sz w:val="22"/>
          <w:szCs w:val="22"/>
        </w:rPr>
        <w:t xml:space="preserve"> (…)”.</w:t>
      </w:r>
    </w:p>
    <w:p w14:paraId="2A9F2BEE" w14:textId="77777777" w:rsidR="00B063F6" w:rsidRDefault="00B063F6" w:rsidP="00B063F6">
      <w:pPr>
        <w:pStyle w:val="Standard"/>
        <w:spacing w:before="120"/>
        <w:ind w:left="567" w:right="567"/>
        <w:jc w:val="both"/>
        <w:rPr>
          <w:rFonts w:ascii="Calibri" w:hAnsi="Calibri"/>
          <w:sz w:val="22"/>
          <w:szCs w:val="22"/>
        </w:rPr>
      </w:pPr>
      <w:r>
        <w:rPr>
          <w:rFonts w:ascii="Calibri" w:hAnsi="Calibri"/>
          <w:sz w:val="22"/>
          <w:szCs w:val="22"/>
        </w:rPr>
        <w:t>“</w:t>
      </w:r>
      <w:r>
        <w:rPr>
          <w:rFonts w:ascii="Calibri" w:hAnsi="Calibri"/>
          <w:i/>
          <w:iCs/>
          <w:sz w:val="22"/>
          <w:szCs w:val="22"/>
        </w:rPr>
        <w:t>Os Estados membros clasificarán en particular como zonas de protección especial os territorios máis axeitados en número e superficie para a conservación destas especies dentro da zona xeográfica marítima e terrestre en que é aplicabel a presente directiva</w:t>
      </w:r>
      <w:r>
        <w:rPr>
          <w:rFonts w:ascii="Calibri" w:hAnsi="Calibri"/>
          <w:sz w:val="22"/>
          <w:szCs w:val="22"/>
        </w:rPr>
        <w:t>”.</w:t>
      </w:r>
    </w:p>
    <w:p w14:paraId="37651417" w14:textId="77777777" w:rsidR="00B063F6" w:rsidRDefault="00B063F6" w:rsidP="00B063F6">
      <w:pPr>
        <w:pStyle w:val="Standard"/>
        <w:spacing w:before="120"/>
        <w:jc w:val="both"/>
        <w:rPr>
          <w:rFonts w:ascii="Calibri" w:hAnsi="Calibri"/>
          <w:i/>
          <w:iCs/>
        </w:rPr>
      </w:pPr>
      <w:r>
        <w:rPr>
          <w:rFonts w:ascii="Calibri" w:hAnsi="Calibri"/>
        </w:rPr>
        <w:t xml:space="preserve">Na serra da Groba foron citadas 17 especies migratorias incluídas no Anexo I da Directiva 2009/147/CE do Parlamento Europeo e do Consello, de 30 de novembro de 2009, relativa á conservación das aves silvestres: </w:t>
      </w:r>
      <w:r>
        <w:rPr>
          <w:rFonts w:ascii="Calibri" w:hAnsi="Calibri"/>
          <w:i/>
          <w:iCs/>
        </w:rPr>
        <w:t>Pandion haliaetus</w:t>
      </w:r>
      <w:bookmarkStart w:id="350" w:name="undefined90"/>
      <w:bookmarkEnd w:id="350"/>
      <w:r>
        <w:rPr>
          <w:rFonts w:ascii="Calibri" w:hAnsi="Calibri"/>
          <w:i/>
          <w:iCs/>
        </w:rPr>
        <w:t>, Pernis apivorus</w:t>
      </w:r>
      <w:bookmarkStart w:id="351" w:name="page9R_mcid67"/>
      <w:bookmarkStart w:id="352" w:name="undefined210"/>
      <w:bookmarkEnd w:id="351"/>
      <w:bookmarkEnd w:id="352"/>
      <w:r>
        <w:rPr>
          <w:rFonts w:ascii="Calibri" w:hAnsi="Calibri"/>
          <w:i/>
          <w:iCs/>
        </w:rPr>
        <w:t>, Milvus migrans</w:t>
      </w:r>
      <w:bookmarkStart w:id="353" w:name="undefined390"/>
      <w:bookmarkEnd w:id="353"/>
      <w:r>
        <w:rPr>
          <w:rFonts w:ascii="Calibri" w:hAnsi="Calibri"/>
          <w:i/>
          <w:iCs/>
        </w:rPr>
        <w:t>, Circaetus gallicus</w:t>
      </w:r>
      <w:bookmarkStart w:id="354" w:name="undefined510"/>
      <w:bookmarkEnd w:id="354"/>
      <w:r>
        <w:rPr>
          <w:rFonts w:ascii="Calibri" w:hAnsi="Calibri"/>
          <w:i/>
          <w:iCs/>
        </w:rPr>
        <w:t>, Circus cyaneus</w:t>
      </w:r>
      <w:bookmarkStart w:id="355" w:name="page9R_mcid78"/>
      <w:bookmarkEnd w:id="355"/>
      <w:r>
        <w:rPr>
          <w:rFonts w:ascii="Calibri" w:hAnsi="Calibri"/>
        </w:rPr>
        <w:t>,</w:t>
      </w:r>
      <w:bookmarkStart w:id="356" w:name="undefined570"/>
      <w:bookmarkEnd w:id="356"/>
      <w:r>
        <w:rPr>
          <w:rFonts w:ascii="Calibri" w:hAnsi="Calibri"/>
        </w:rPr>
        <w:t xml:space="preserve"> </w:t>
      </w:r>
      <w:r>
        <w:rPr>
          <w:rFonts w:ascii="Calibri" w:hAnsi="Calibri"/>
          <w:i/>
          <w:iCs/>
        </w:rPr>
        <w:t>Circus pygargus</w:t>
      </w:r>
      <w:bookmarkStart w:id="357" w:name="page9R_mcid80"/>
      <w:bookmarkStart w:id="358" w:name="undefined630"/>
      <w:bookmarkEnd w:id="357"/>
      <w:bookmarkEnd w:id="358"/>
      <w:r>
        <w:rPr>
          <w:rFonts w:ascii="Calibri" w:hAnsi="Calibri"/>
          <w:i/>
          <w:iCs/>
        </w:rPr>
        <w:t>, Hieraaetus pennatus</w:t>
      </w:r>
      <w:bookmarkStart w:id="359" w:name="page11R_mcid2"/>
      <w:bookmarkStart w:id="360" w:name="undefined690"/>
      <w:bookmarkEnd w:id="359"/>
      <w:bookmarkEnd w:id="360"/>
      <w:r>
        <w:rPr>
          <w:rFonts w:ascii="Calibri" w:hAnsi="Calibri"/>
          <w:i/>
          <w:iCs/>
        </w:rPr>
        <w:t>, Falco columbarius</w:t>
      </w:r>
      <w:bookmarkStart w:id="361" w:name="page11R_mcid7"/>
      <w:bookmarkStart w:id="362" w:name="undefined750"/>
      <w:bookmarkEnd w:id="361"/>
      <w:bookmarkEnd w:id="362"/>
      <w:r>
        <w:rPr>
          <w:rFonts w:ascii="Calibri" w:hAnsi="Calibri"/>
          <w:i/>
          <w:iCs/>
        </w:rPr>
        <w:t>, Falco peregrinus</w:t>
      </w:r>
      <w:bookmarkStart w:id="363" w:name="undefined810"/>
      <w:bookmarkEnd w:id="363"/>
      <w:r>
        <w:rPr>
          <w:rFonts w:ascii="Calibri" w:hAnsi="Calibri"/>
          <w:i/>
          <w:iCs/>
        </w:rPr>
        <w:t>, Charadrius morinellus</w:t>
      </w:r>
      <w:bookmarkStart w:id="364" w:name="undefined870"/>
      <w:bookmarkEnd w:id="364"/>
      <w:r>
        <w:rPr>
          <w:rFonts w:ascii="Calibri" w:hAnsi="Calibri"/>
          <w:i/>
          <w:iCs/>
        </w:rPr>
        <w:t>, Pluvialis apricaria</w:t>
      </w:r>
      <w:bookmarkStart w:id="365" w:name="page11R_mcid53"/>
      <w:bookmarkStart w:id="366" w:name="undefined930"/>
      <w:bookmarkEnd w:id="365"/>
      <w:bookmarkEnd w:id="366"/>
      <w:r>
        <w:rPr>
          <w:rFonts w:ascii="Calibri" w:hAnsi="Calibri"/>
          <w:i/>
          <w:iCs/>
        </w:rPr>
        <w:t>, Asio flammeus</w:t>
      </w:r>
      <w:bookmarkStart w:id="367" w:name="undefined990"/>
      <w:bookmarkEnd w:id="367"/>
      <w:r>
        <w:rPr>
          <w:rFonts w:ascii="Calibri" w:hAnsi="Calibri"/>
          <w:i/>
          <w:iCs/>
        </w:rPr>
        <w:t>, Caprimulgus europaeus</w:t>
      </w:r>
      <w:bookmarkStart w:id="368" w:name="page13R_mcid13"/>
      <w:bookmarkStart w:id="369" w:name="undefined1050"/>
      <w:bookmarkEnd w:id="368"/>
      <w:bookmarkEnd w:id="369"/>
      <w:r>
        <w:rPr>
          <w:rFonts w:ascii="Calibri" w:hAnsi="Calibri"/>
          <w:i/>
          <w:iCs/>
        </w:rPr>
        <w:t>, Coracias garrulus</w:t>
      </w:r>
      <w:bookmarkStart w:id="370" w:name="undefined1170"/>
      <w:bookmarkEnd w:id="370"/>
      <w:r>
        <w:rPr>
          <w:rFonts w:ascii="Calibri" w:hAnsi="Calibri"/>
          <w:i/>
          <w:iCs/>
        </w:rPr>
        <w:t>, Calandrella brachydactyla</w:t>
      </w:r>
      <w:bookmarkStart w:id="371" w:name="page13R_mcid36"/>
      <w:bookmarkStart w:id="372" w:name="undefined1230"/>
      <w:bookmarkEnd w:id="371"/>
      <w:bookmarkEnd w:id="372"/>
      <w:r>
        <w:rPr>
          <w:rFonts w:ascii="Calibri" w:hAnsi="Calibri"/>
          <w:i/>
          <w:iCs/>
        </w:rPr>
        <w:t>, Anthus campestris</w:t>
      </w:r>
      <w:bookmarkStart w:id="373" w:name="page13R_mcid40"/>
      <w:bookmarkStart w:id="374" w:name="undefined1350"/>
      <w:bookmarkEnd w:id="373"/>
      <w:bookmarkEnd w:id="374"/>
      <w:r>
        <w:rPr>
          <w:rFonts w:ascii="Calibri" w:hAnsi="Calibri"/>
          <w:i/>
          <w:iCs/>
        </w:rPr>
        <w:t>, Lanius collurio</w:t>
      </w:r>
      <w:bookmarkStart w:id="375" w:name="page13R_mcid70"/>
      <w:bookmarkEnd w:id="375"/>
      <w:r>
        <w:rPr>
          <w:rFonts w:ascii="Calibri" w:hAnsi="Calibri"/>
        </w:rPr>
        <w:t>.</w:t>
      </w:r>
    </w:p>
    <w:p w14:paraId="3BC08CE6" w14:textId="77777777" w:rsidR="00B063F6" w:rsidRDefault="00B063F6" w:rsidP="00B063F6">
      <w:pPr>
        <w:pStyle w:val="Standard"/>
        <w:spacing w:before="120"/>
        <w:jc w:val="both"/>
      </w:pPr>
      <w:r>
        <w:rPr>
          <w:rFonts w:ascii="Calibri" w:hAnsi="Calibri"/>
        </w:rPr>
        <w:t xml:space="preserve">Lista á que poderíamos engadir </w:t>
      </w:r>
      <w:r>
        <w:rPr>
          <w:rFonts w:ascii="Calibri" w:hAnsi="Calibri"/>
          <w:i/>
          <w:iCs/>
        </w:rPr>
        <w:t>Circus aeruginosus</w:t>
      </w:r>
      <w:r>
        <w:rPr>
          <w:rFonts w:ascii="Calibri" w:hAnsi="Calibri"/>
        </w:rPr>
        <w:t>, nunha observación non publicada, foi detectada unha parella desta especie atravesando o sector central da serra.</w:t>
      </w:r>
    </w:p>
    <w:p w14:paraId="64EA2586" w14:textId="77777777" w:rsidR="00B063F6" w:rsidRDefault="00B063F6" w:rsidP="00B063F6">
      <w:pPr>
        <w:pStyle w:val="Standard"/>
        <w:spacing w:before="120"/>
        <w:jc w:val="both"/>
      </w:pPr>
      <w:r>
        <w:rPr>
          <w:rFonts w:ascii="Calibri" w:hAnsi="Calibri"/>
        </w:rPr>
        <w:t xml:space="preserve">Algunhas destas especies contan cun único rexistro na Groba. É o caso de </w:t>
      </w:r>
      <w:r>
        <w:rPr>
          <w:rFonts w:ascii="Calibri" w:hAnsi="Calibri"/>
          <w:i/>
          <w:iCs/>
        </w:rPr>
        <w:t>Pandion haliaetus</w:t>
      </w:r>
      <w:r>
        <w:rPr>
          <w:rFonts w:ascii="Calibri" w:hAnsi="Calibri"/>
        </w:rPr>
        <w:t xml:space="preserve"> ou </w:t>
      </w:r>
      <w:r>
        <w:rPr>
          <w:rFonts w:ascii="Calibri" w:hAnsi="Calibri"/>
          <w:i/>
          <w:iCs/>
        </w:rPr>
        <w:t>Asio flammeus</w:t>
      </w:r>
      <w:r>
        <w:rPr>
          <w:rFonts w:ascii="Calibri" w:hAnsi="Calibri"/>
        </w:rPr>
        <w:t xml:space="preserve">, observadas ambas as dúas na área afectada polo proxecto eólico. Outras nidifican, sen embargo, de maneira regular na serra, como </w:t>
      </w:r>
      <w:r>
        <w:rPr>
          <w:rFonts w:ascii="Calibri" w:hAnsi="Calibri"/>
          <w:i/>
          <w:iCs/>
        </w:rPr>
        <w:t>Pernis apivorus</w:t>
      </w:r>
      <w:bookmarkStart w:id="376" w:name="page9R_mcid672"/>
      <w:bookmarkEnd w:id="376"/>
      <w:r>
        <w:rPr>
          <w:rFonts w:ascii="Calibri" w:hAnsi="Calibri"/>
        </w:rPr>
        <w:t xml:space="preserve"> e </w:t>
      </w:r>
      <w:r>
        <w:rPr>
          <w:rFonts w:ascii="Calibri" w:hAnsi="Calibri"/>
          <w:i/>
          <w:iCs/>
        </w:rPr>
        <w:t>Circaetus gallicus</w:t>
      </w:r>
      <w:r>
        <w:rPr>
          <w:rFonts w:ascii="Calibri" w:hAnsi="Calibri"/>
        </w:rPr>
        <w:t xml:space="preserve">, especie esta última moi rara no litoral sur galego. Como se pode deducir dos rexistros que mostramos no Anexo ás alegacións, </w:t>
      </w:r>
      <w:r>
        <w:rPr>
          <w:rFonts w:ascii="Calibri" w:hAnsi="Calibri"/>
          <w:i/>
          <w:iCs/>
        </w:rPr>
        <w:t>Circaetus gallicus</w:t>
      </w:r>
      <w:r>
        <w:rPr>
          <w:rFonts w:ascii="Calibri" w:hAnsi="Calibri"/>
        </w:rPr>
        <w:t xml:space="preserve"> nidifica na serra da Groba, existindo diversas citas de 2 e 3 exemplares distintos, voando xuntos en pleno período reprodutor.</w:t>
      </w:r>
    </w:p>
    <w:p w14:paraId="05AE7AF2" w14:textId="77777777" w:rsidR="00B063F6" w:rsidRDefault="00B063F6" w:rsidP="00B063F6">
      <w:pPr>
        <w:autoSpaceDE w:val="0"/>
        <w:autoSpaceDN w:val="0"/>
        <w:adjustRightInd w:val="0"/>
        <w:spacing w:before="120" w:after="0" w:line="240" w:lineRule="auto"/>
        <w:jc w:val="both"/>
        <w:rPr>
          <w:sz w:val="24"/>
          <w:szCs w:val="24"/>
        </w:rPr>
      </w:pPr>
      <w:r>
        <w:rPr>
          <w:sz w:val="24"/>
          <w:szCs w:val="24"/>
        </w:rPr>
        <w:t xml:space="preserve">Entre as especies de aves migratorias que frecuentan anualmente a zona afectada polo PE Torroña I atópanse, entreo outras, </w:t>
      </w:r>
      <w:r>
        <w:rPr>
          <w:i/>
          <w:iCs/>
          <w:sz w:val="24"/>
          <w:szCs w:val="24"/>
        </w:rPr>
        <w:t xml:space="preserve">Charadrius morinellus </w:t>
      </w:r>
      <w:r>
        <w:rPr>
          <w:sz w:val="24"/>
          <w:szCs w:val="24"/>
        </w:rPr>
        <w:t xml:space="preserve">(especie considerada RARA en España en perigo de desaparición debido, fundamentalmente á alteración do seu hábitat) ou </w:t>
      </w:r>
      <w:r>
        <w:rPr>
          <w:i/>
          <w:iCs/>
          <w:sz w:val="24"/>
          <w:szCs w:val="24"/>
        </w:rPr>
        <w:t>Plectrophenax nivalis</w:t>
      </w:r>
      <w:r>
        <w:rPr>
          <w:sz w:val="24"/>
          <w:szCs w:val="24"/>
        </w:rPr>
        <w:t>.</w:t>
      </w:r>
    </w:p>
    <w:p w14:paraId="11AF53A8" w14:textId="77777777" w:rsidR="00B063F6" w:rsidRDefault="00B063F6" w:rsidP="00B063F6">
      <w:pPr>
        <w:pStyle w:val="Standard"/>
        <w:spacing w:before="120"/>
        <w:jc w:val="both"/>
      </w:pPr>
      <w:r>
        <w:rPr>
          <w:rFonts w:ascii="Calibri" w:hAnsi="Calibri"/>
        </w:rPr>
        <w:t xml:space="preserve">As aves rapaces (nomeadamente </w:t>
      </w:r>
      <w:r>
        <w:rPr>
          <w:rFonts w:ascii="Calibri" w:hAnsi="Calibri"/>
          <w:i/>
          <w:iCs/>
        </w:rPr>
        <w:t>Circaetus gallicus</w:t>
      </w:r>
      <w:r>
        <w:rPr>
          <w:rFonts w:ascii="Calibri" w:hAnsi="Calibri"/>
        </w:rPr>
        <w:t>) resultan con frecuencia vítimas dos parques eólicos, debido ao impacto das pas dos aeroxeradores.</w:t>
      </w:r>
    </w:p>
    <w:p w14:paraId="0E292149" w14:textId="77777777" w:rsidR="00B063F6" w:rsidRDefault="00B063F6" w:rsidP="00B063F6">
      <w:pPr>
        <w:pStyle w:val="Standard"/>
        <w:spacing w:before="120"/>
        <w:jc w:val="both"/>
      </w:pPr>
      <w:r>
        <w:rPr>
          <w:rFonts w:ascii="Calibri" w:hAnsi="Calibri"/>
        </w:rPr>
        <w:t>Ás rapaces sedentarias temos que sumar outras especies que se observan no cume da serra (novamente, dentro da área ameazada polo proxecto eólico) durante os pasos migratorios</w:t>
      </w:r>
      <w:bookmarkStart w:id="377" w:name="undefined5101"/>
      <w:bookmarkEnd w:id="377"/>
      <w:r>
        <w:rPr>
          <w:rFonts w:ascii="Calibri" w:hAnsi="Calibri"/>
        </w:rPr>
        <w:t xml:space="preserve">. É o caso de dúas tartarañas ameazadas de extinción no noso país, que nidifican e frecuentan hábitats terrestres con vexetación herbácea e arbustiva baixa: </w:t>
      </w:r>
      <w:r>
        <w:rPr>
          <w:rFonts w:ascii="Calibri" w:hAnsi="Calibri"/>
          <w:i/>
          <w:iCs/>
        </w:rPr>
        <w:t>Circus cyaneus</w:t>
      </w:r>
      <w:bookmarkStart w:id="378" w:name="page9R_mcid781"/>
      <w:bookmarkEnd w:id="378"/>
      <w:r>
        <w:rPr>
          <w:rFonts w:ascii="Calibri" w:hAnsi="Calibri"/>
        </w:rPr>
        <w:t xml:space="preserve"> </w:t>
      </w:r>
      <w:bookmarkStart w:id="379" w:name="undefined5701"/>
      <w:bookmarkEnd w:id="379"/>
      <w:r>
        <w:rPr>
          <w:rFonts w:ascii="Calibri" w:hAnsi="Calibri"/>
        </w:rPr>
        <w:t xml:space="preserve">e </w:t>
      </w:r>
      <w:r>
        <w:rPr>
          <w:rFonts w:ascii="Calibri" w:hAnsi="Calibri"/>
          <w:i/>
          <w:iCs/>
        </w:rPr>
        <w:t>Circus pygargus</w:t>
      </w:r>
      <w:bookmarkStart w:id="380" w:name="page9R_mcid801"/>
      <w:bookmarkEnd w:id="380"/>
      <w:r>
        <w:rPr>
          <w:rFonts w:ascii="Calibri" w:hAnsi="Calibri"/>
        </w:rPr>
        <w:t>. Ou da águia calzada (</w:t>
      </w:r>
      <w:r>
        <w:rPr>
          <w:rFonts w:ascii="Calibri" w:hAnsi="Calibri"/>
          <w:i/>
          <w:iCs/>
        </w:rPr>
        <w:t>Hieraaetus pennatus</w:t>
      </w:r>
      <w:bookmarkStart w:id="381" w:name="page11R_mcid21"/>
      <w:bookmarkEnd w:id="381"/>
      <w:r>
        <w:rPr>
          <w:rFonts w:ascii="Calibri" w:hAnsi="Calibri"/>
        </w:rPr>
        <w:t>), que conta cun rexistro de 8 exemplares que formaban unha partida migratoria observada no cume de maior altitude da serra (ver Anexo). O esmerillón (</w:t>
      </w:r>
      <w:r>
        <w:rPr>
          <w:rFonts w:ascii="Calibri" w:hAnsi="Calibri"/>
          <w:i/>
          <w:iCs/>
        </w:rPr>
        <w:t>Falco</w:t>
      </w:r>
      <w:r>
        <w:rPr>
          <w:rFonts w:ascii="Calibri" w:hAnsi="Calibri"/>
        </w:rPr>
        <w:t xml:space="preserve"> </w:t>
      </w:r>
      <w:r>
        <w:rPr>
          <w:rFonts w:ascii="Calibri" w:hAnsi="Calibri"/>
          <w:i/>
          <w:iCs/>
        </w:rPr>
        <w:t>columbarius</w:t>
      </w:r>
      <w:r>
        <w:rPr>
          <w:rFonts w:ascii="Calibri" w:hAnsi="Calibri"/>
        </w:rPr>
        <w:t>), pola súa parte, frecuenta tamén os cumes, seguindo os bandos de pequenas paseriformes migratorias e invernantes que paran na serra da Groba.</w:t>
      </w:r>
    </w:p>
    <w:p w14:paraId="5AEEAB69" w14:textId="77777777" w:rsidR="00B063F6" w:rsidRDefault="00B063F6" w:rsidP="00B063F6">
      <w:pPr>
        <w:pStyle w:val="Standard"/>
        <w:spacing w:before="120"/>
        <w:jc w:val="both"/>
      </w:pPr>
      <w:r>
        <w:rPr>
          <w:rFonts w:ascii="Calibri" w:hAnsi="Calibri"/>
        </w:rPr>
        <w:t>Incluídas tamén no Anexo I da Directiva 2009/147/CE, destacamos dúas limícolas: a tarambola dourada (</w:t>
      </w:r>
      <w:r>
        <w:rPr>
          <w:rFonts w:ascii="Calibri" w:hAnsi="Calibri"/>
          <w:i/>
          <w:iCs/>
        </w:rPr>
        <w:t>Pluvialis apricaria</w:t>
      </w:r>
      <w:bookmarkStart w:id="382" w:name="page11R_mcid531"/>
      <w:bookmarkEnd w:id="382"/>
      <w:r>
        <w:rPr>
          <w:rFonts w:ascii="Calibri" w:hAnsi="Calibri"/>
        </w:rPr>
        <w:t>) e a tarambola rubia (</w:t>
      </w:r>
      <w:r>
        <w:rPr>
          <w:rFonts w:ascii="Calibri" w:hAnsi="Calibri"/>
          <w:i/>
          <w:iCs/>
        </w:rPr>
        <w:t>Charadrius morinellus</w:t>
      </w:r>
      <w:r>
        <w:rPr>
          <w:rFonts w:ascii="Calibri" w:hAnsi="Calibri"/>
        </w:rPr>
        <w:t>). Ambas as dúas especies poden ser observadas de maneira regular na área de maior altitude da serra da Groba (novamente, na superficie afectada polo proxecto eólico) durante os seus desprazamentos migratorios.</w:t>
      </w:r>
    </w:p>
    <w:p w14:paraId="1132B656" w14:textId="77777777" w:rsidR="00B063F6" w:rsidRDefault="00B063F6" w:rsidP="00B063F6">
      <w:pPr>
        <w:pStyle w:val="Standard"/>
        <w:spacing w:before="120"/>
        <w:jc w:val="both"/>
      </w:pPr>
      <w:r>
        <w:rPr>
          <w:rFonts w:ascii="Calibri" w:hAnsi="Calibri"/>
        </w:rPr>
        <w:t xml:space="preserve">O caso de </w:t>
      </w:r>
      <w:r>
        <w:rPr>
          <w:rFonts w:ascii="Calibri" w:hAnsi="Calibri"/>
          <w:i/>
          <w:iCs/>
        </w:rPr>
        <w:t>Charadrius morinellus</w:t>
      </w:r>
      <w:r>
        <w:rPr>
          <w:rFonts w:ascii="Calibri" w:hAnsi="Calibri"/>
        </w:rPr>
        <w:t xml:space="preserve"> é especialmente grave pois esta especie, de distribución boreo-alpina, é de aparición moi rara en Galiza, e só pode ser observada en contados espazos que reúnen as condicións necesarias de alimentación e de descanso. As zonas cuminais da serra da Groba constitúen un dos escasos lugares en Galiza onde a especie realiza paradas migratorias, de maneira regular e principalmente durante o paso postnupcial. Mais as supeficies que utiliza na serra encóntranse todas elas incluídas dentro do proxecto eólico Torroña I.</w:t>
      </w:r>
    </w:p>
    <w:p w14:paraId="6189B6E4" w14:textId="77777777" w:rsidR="00B063F6" w:rsidRDefault="00B063F6" w:rsidP="00B063F6">
      <w:pPr>
        <w:pStyle w:val="Standard"/>
        <w:spacing w:before="120"/>
        <w:jc w:val="both"/>
      </w:pPr>
      <w:r>
        <w:rPr>
          <w:rFonts w:ascii="Calibri" w:hAnsi="Calibri"/>
        </w:rPr>
        <w:t xml:space="preserve">As infraestruturas previstas destruirían os seus lugares de descanso, provocando continuas molestias pola invasión destes por persoas, cans e vehículos. Os aeroxeradores, alén do ruído e do </w:t>
      </w:r>
      <w:r>
        <w:rPr>
          <w:rFonts w:ascii="Calibri" w:hAnsi="Calibri"/>
        </w:rPr>
        <w:lastRenderedPageBreak/>
        <w:t>movemento das aspas xigantes, ameazarían ademais directamente estas aves, que correrían un grave risco de morte por colisión coas pas.</w:t>
      </w:r>
    </w:p>
    <w:p w14:paraId="7B3A24C3" w14:textId="77777777" w:rsidR="00B063F6" w:rsidRDefault="00B063F6" w:rsidP="00B063F6">
      <w:pPr>
        <w:pStyle w:val="Standard"/>
        <w:spacing w:before="120"/>
        <w:jc w:val="both"/>
      </w:pPr>
      <w:r>
        <w:rPr>
          <w:rFonts w:ascii="Calibri" w:hAnsi="Calibri"/>
        </w:rPr>
        <w:t>Ademais das que están incluídas no Anexo I da Directiva 2009/147/CE, na serra da Groba ten unha especial importancia a ocorrencia doutras moitas especies de aves migratorias durante os pasos prenupcial e postnupcial, sendo o cume norte da serra, con altitudes superiores aos 600 m.s.n.m. (área afectada polo proxecto eólico) o lugar máis frecuentado pola maioría delas. Non é casual que sexa este un destino escollido tamén por numerosos afeccionados á ornitoloxía.</w:t>
      </w:r>
    </w:p>
    <w:p w14:paraId="00A1482D" w14:textId="77777777" w:rsidR="00B063F6" w:rsidRDefault="00B063F6" w:rsidP="00B063F6">
      <w:pPr>
        <w:pStyle w:val="Standard"/>
        <w:spacing w:before="120"/>
        <w:jc w:val="both"/>
      </w:pPr>
      <w:r>
        <w:rPr>
          <w:rFonts w:ascii="Calibri" w:hAnsi="Calibri"/>
        </w:rPr>
        <w:t>Estas especies non están incluídas en categorías especiais de protección mais, como establece o artigo 4.2. da citada directiva:</w:t>
      </w:r>
    </w:p>
    <w:p w14:paraId="465A9939" w14:textId="77777777" w:rsidR="00B063F6" w:rsidRDefault="00B063F6" w:rsidP="00B063F6">
      <w:pPr>
        <w:pStyle w:val="Standard"/>
        <w:spacing w:before="120"/>
        <w:ind w:left="851" w:right="567"/>
        <w:jc w:val="both"/>
        <w:rPr>
          <w:rFonts w:ascii="Calibri" w:hAnsi="Calibri"/>
          <w:sz w:val="22"/>
          <w:szCs w:val="22"/>
        </w:rPr>
      </w:pPr>
      <w:r>
        <w:rPr>
          <w:rFonts w:ascii="Calibri" w:hAnsi="Calibri"/>
          <w:sz w:val="22"/>
          <w:szCs w:val="22"/>
        </w:rPr>
        <w:t>“</w:t>
      </w:r>
      <w:r>
        <w:rPr>
          <w:rFonts w:ascii="Calibri" w:hAnsi="Calibri"/>
          <w:i/>
          <w:iCs/>
          <w:sz w:val="22"/>
          <w:szCs w:val="22"/>
        </w:rPr>
        <w:t>Os estados membros tomarán medidas semellantes ao respecto das especies migratorias non contempladas no Anexo I cuxa chegada sexa regular, tendo en conta as necesidades de protección na zona xeográfica marítima e terrestre en que se aplica a presente directiva no relativo ás súas áreas de reprodución, de muda e de invernada e ás zonas de descanso nas súas áreas de migración. A tal fin os estados membros asignarán unha particular importancia á protección das zonas húmidas e moi especialmente ás de importancia internacional</w:t>
      </w:r>
      <w:r>
        <w:rPr>
          <w:rFonts w:ascii="Calibri" w:hAnsi="Calibri"/>
          <w:sz w:val="22"/>
          <w:szCs w:val="22"/>
        </w:rPr>
        <w:t>”.</w:t>
      </w:r>
    </w:p>
    <w:p w14:paraId="1CB5065D" w14:textId="77777777" w:rsidR="00B063F6" w:rsidRDefault="00B063F6" w:rsidP="00B063F6">
      <w:pPr>
        <w:pStyle w:val="Standard"/>
        <w:spacing w:before="120"/>
        <w:jc w:val="both"/>
        <w:rPr>
          <w:rFonts w:ascii="Calibri" w:hAnsi="Calibri"/>
        </w:rPr>
      </w:pPr>
      <w:r>
        <w:rPr>
          <w:rFonts w:ascii="Calibri" w:hAnsi="Calibri"/>
        </w:rPr>
        <w:t>O proxecto eólico Torroña I ameaza unha importante zona de descanso que se encontra dentro da área migratoria de numerosas especies de aves, zonas que a Directiva 2009/147/CE do Parlamento Europeo e do Consello, de 30 de novembro de 2009, relativa á conservación das aves silvestres, insta a protexer.</w:t>
      </w:r>
    </w:p>
    <w:p w14:paraId="67C1D6E1" w14:textId="77777777" w:rsidR="00B063F6" w:rsidRDefault="00B063F6" w:rsidP="00B063F6">
      <w:pPr>
        <w:autoSpaceDE w:val="0"/>
        <w:autoSpaceDN w:val="0"/>
        <w:adjustRightInd w:val="0"/>
        <w:spacing w:before="120" w:after="0" w:line="240" w:lineRule="auto"/>
        <w:jc w:val="both"/>
        <w:rPr>
          <w:sz w:val="24"/>
          <w:szCs w:val="24"/>
        </w:rPr>
      </w:pPr>
      <w:r>
        <w:rPr>
          <w:sz w:val="24"/>
          <w:szCs w:val="24"/>
        </w:rPr>
        <w:t>No documento Anexo adxúntase unha relación detallada daquelas especies de aves que resultarían afectadas pola implantación deste proxecto, utilizando como fonte de información os rexistros publicados na plataforma da Sociedade Galega de Ornitoloxía denominada Noticiario Ornitoxeográfico Galego, de libre acceso.</w:t>
      </w:r>
    </w:p>
    <w:p w14:paraId="125D5F51" w14:textId="77777777" w:rsidR="00B063F6" w:rsidRDefault="00B063F6" w:rsidP="00B063F6">
      <w:pPr>
        <w:autoSpaceDE w:val="0"/>
        <w:autoSpaceDN w:val="0"/>
        <w:adjustRightInd w:val="0"/>
        <w:spacing w:before="120" w:after="0" w:line="240" w:lineRule="auto"/>
        <w:jc w:val="both"/>
        <w:rPr>
          <w:sz w:val="24"/>
          <w:szCs w:val="24"/>
        </w:rPr>
      </w:pPr>
      <w:r>
        <w:rPr>
          <w:sz w:val="24"/>
          <w:szCs w:val="24"/>
        </w:rPr>
        <w:t xml:space="preserve">Aproximadamente os dous tercios das especies europeas migran principalmente de noite. En cambio, as aves reducen a súa altura de voo durante a escuridade e son atraídas polas estruturas iluminadas tales como as turbinas eólicas. </w:t>
      </w:r>
      <w:r>
        <w:rPr>
          <w:i/>
          <w:iCs/>
          <w:sz w:val="24"/>
          <w:szCs w:val="24"/>
        </w:rPr>
        <w:t>Caprimulgus europaeus</w:t>
      </w:r>
      <w:r>
        <w:rPr>
          <w:sz w:val="24"/>
          <w:szCs w:val="24"/>
        </w:rPr>
        <w:t xml:space="preserve"> é unha especie migradora críptica, crepuscular e nocturna con baixos niveis de actividade diurna. Inclúese no Anexo I da Directiva Aves e figura no listado de especies silvestres en réxime de protección especial. Ainda que a avenoiteira posúe unha ampla distribución en Europa, esta especie sufríu un severo declive poboacional nas rexións do oeste e noroeste europeo dende os anos 50. Este declive atribúese principalmente a cambios no seu hábitat. A instalación do PE ocasionará efectos severos sobre as poboacións destas aves por alteración dos seus sitios de nidificación, mortes por colisión e perturbación do seu hábitat.</w:t>
      </w:r>
    </w:p>
    <w:p w14:paraId="231E5748" w14:textId="77777777" w:rsidR="00B063F6" w:rsidRDefault="00B063F6" w:rsidP="00B063F6">
      <w:pPr>
        <w:autoSpaceDE w:val="0"/>
        <w:autoSpaceDN w:val="0"/>
        <w:adjustRightInd w:val="0"/>
        <w:spacing w:before="120" w:after="0" w:line="240" w:lineRule="auto"/>
        <w:jc w:val="both"/>
        <w:rPr>
          <w:sz w:val="24"/>
          <w:szCs w:val="24"/>
        </w:rPr>
      </w:pPr>
      <w:r>
        <w:rPr>
          <w:sz w:val="24"/>
          <w:szCs w:val="24"/>
        </w:rPr>
        <w:t>No caso do PE Torroña I os efectos sobre as aves migratorias poden verse incrementados pola súa proximidade ó mar. Algúns estudos científicos evidencian taxas de mortalidade 3 a 5 veces maiores en PEs próximos á costa que nos de interior.</w:t>
      </w:r>
    </w:p>
    <w:p w14:paraId="5E07291D" w14:textId="77777777" w:rsidR="00B063F6" w:rsidRDefault="00B063F6" w:rsidP="00B063F6">
      <w:pPr>
        <w:pStyle w:val="Standard"/>
        <w:spacing w:before="120"/>
        <w:jc w:val="both"/>
        <w:rPr>
          <w:rFonts w:ascii="Calibri" w:hAnsi="Calibri" w:cs="Calibri"/>
        </w:rPr>
      </w:pPr>
      <w:r>
        <w:rPr>
          <w:rFonts w:ascii="Calibri" w:hAnsi="Calibri" w:cs="Calibri"/>
        </w:rPr>
        <w:t xml:space="preserve">Diversas especies de aves rapaces non migratorias protexidas pola Directiva 2009/147/CE do Parlamento Europeo e do Consello, de 30 de novembro de 2009, relativa á conservación  das aves silvestres, recibirán un </w:t>
      </w:r>
      <w:r>
        <w:rPr>
          <w:rFonts w:ascii="Calibri" w:hAnsi="Calibri" w:cs="Calibri"/>
          <w:b/>
          <w:bCs/>
        </w:rPr>
        <w:t>impacto MOI SEVERO</w:t>
      </w:r>
      <w:r>
        <w:rPr>
          <w:rFonts w:ascii="Calibri" w:hAnsi="Calibri" w:cs="Calibri"/>
        </w:rPr>
        <w:t xml:space="preserve">. Estas 6 especies – non migratorias – incluídas tamén no Anexo I da citada Directiva son: </w:t>
      </w:r>
      <w:r>
        <w:rPr>
          <w:rFonts w:ascii="Calibri" w:hAnsi="Calibri" w:cs="Calibri"/>
          <w:i/>
          <w:iCs/>
        </w:rPr>
        <w:t>Elanus caeruleus, Gyps fulvus, Aegypius monachus, Sylvia undata</w:t>
      </w:r>
      <w:bookmarkStart w:id="383" w:name="page13R_mcid54"/>
      <w:bookmarkEnd w:id="383"/>
      <w:r>
        <w:rPr>
          <w:rFonts w:ascii="Calibri" w:hAnsi="Calibri" w:cs="Calibri"/>
          <w:i/>
          <w:iCs/>
        </w:rPr>
        <w:t>, Bubo bubo, Lullula arborea</w:t>
      </w:r>
      <w:bookmarkStart w:id="384" w:name="page13R_mcid38"/>
      <w:bookmarkEnd w:id="384"/>
      <w:r>
        <w:rPr>
          <w:rFonts w:ascii="Calibri" w:hAnsi="Calibri" w:cs="Calibri"/>
        </w:rPr>
        <w:t>.</w:t>
      </w:r>
    </w:p>
    <w:p w14:paraId="53C13412" w14:textId="77777777" w:rsidR="00B063F6" w:rsidRDefault="00B063F6" w:rsidP="00B063F6">
      <w:pPr>
        <w:pStyle w:val="Standard"/>
        <w:spacing w:before="120"/>
        <w:jc w:val="both"/>
        <w:rPr>
          <w:rFonts w:ascii="Calibri" w:hAnsi="Calibri" w:cs="Calibri"/>
        </w:rPr>
      </w:pPr>
      <w:r>
        <w:rPr>
          <w:rFonts w:ascii="Calibri" w:hAnsi="Calibri" w:cs="Calibri"/>
        </w:rPr>
        <w:t xml:space="preserve">Algunhas destas especies nidifican regularmente na serra da Groba e Argalo, formando poboacións en bo estado se conservación. Trátase de </w:t>
      </w:r>
      <w:r>
        <w:rPr>
          <w:rFonts w:ascii="Calibri" w:hAnsi="Calibri" w:cs="Calibri"/>
          <w:i/>
          <w:iCs/>
        </w:rPr>
        <w:t>Lullula arborea</w:t>
      </w:r>
      <w:r>
        <w:rPr>
          <w:rFonts w:ascii="Calibri" w:hAnsi="Calibri" w:cs="Calibri"/>
        </w:rPr>
        <w:t xml:space="preserve"> e </w:t>
      </w:r>
      <w:r>
        <w:rPr>
          <w:rFonts w:ascii="Calibri" w:hAnsi="Calibri" w:cs="Calibri"/>
          <w:i/>
          <w:iCs/>
        </w:rPr>
        <w:t>Sylvia undata</w:t>
      </w:r>
      <w:r>
        <w:rPr>
          <w:rFonts w:ascii="Calibri" w:hAnsi="Calibri" w:cs="Calibri"/>
        </w:rPr>
        <w:t xml:space="preserve">. Outras son observadas </w:t>
      </w:r>
      <w:r>
        <w:rPr>
          <w:rFonts w:ascii="Calibri" w:hAnsi="Calibri" w:cs="Calibri"/>
        </w:rPr>
        <w:lastRenderedPageBreak/>
        <w:t xml:space="preserve">de maneira esporádica, como os dous abutres arriba  mencionados: </w:t>
      </w:r>
      <w:r>
        <w:rPr>
          <w:rFonts w:ascii="Calibri" w:hAnsi="Calibri" w:cs="Calibri"/>
          <w:i/>
          <w:iCs/>
        </w:rPr>
        <w:t>Gyps fulvus</w:t>
      </w:r>
      <w:r>
        <w:rPr>
          <w:rFonts w:ascii="Calibri" w:hAnsi="Calibri" w:cs="Calibri"/>
        </w:rPr>
        <w:t xml:space="preserve"> e </w:t>
      </w:r>
      <w:r>
        <w:rPr>
          <w:rFonts w:ascii="Calibri" w:hAnsi="Calibri" w:cs="Calibri"/>
          <w:i/>
          <w:iCs/>
        </w:rPr>
        <w:t>Aegypius monachus,</w:t>
      </w:r>
      <w:r>
        <w:rPr>
          <w:rFonts w:ascii="Calibri" w:hAnsi="Calibri" w:cs="Calibri"/>
        </w:rPr>
        <w:t xml:space="preserve"> especies que contan con varios rexistros na serra da Groba (ver documento Anexo).</w:t>
      </w:r>
    </w:p>
    <w:p w14:paraId="35F77E04" w14:textId="77777777" w:rsidR="00B063F6" w:rsidRDefault="00B063F6" w:rsidP="00B063F6">
      <w:pPr>
        <w:pStyle w:val="Standard"/>
        <w:spacing w:before="120"/>
        <w:jc w:val="both"/>
        <w:rPr>
          <w:rFonts w:ascii="Calibri" w:hAnsi="Calibri" w:cs="Calibri"/>
        </w:rPr>
      </w:pPr>
      <w:r>
        <w:rPr>
          <w:rFonts w:ascii="Calibri" w:hAnsi="Calibri" w:cs="Calibri"/>
        </w:rPr>
        <w:t xml:space="preserve">Especies particularmente valiosas, que non contan con rexistros no Noticiario Ornitoxegráfico Galego pero foron observadas igualmente dentro da área de implantación do proxecto eólico, son </w:t>
      </w:r>
      <w:r>
        <w:rPr>
          <w:rFonts w:ascii="Calibri" w:hAnsi="Calibri" w:cs="Calibri"/>
          <w:i/>
          <w:iCs/>
        </w:rPr>
        <w:t xml:space="preserve">Elanus </w:t>
      </w:r>
      <w:r>
        <w:rPr>
          <w:rFonts w:ascii="Calibri" w:hAnsi="Calibri" w:cs="Calibri"/>
        </w:rPr>
        <w:t xml:space="preserve">caeruleus e </w:t>
      </w:r>
      <w:r>
        <w:rPr>
          <w:rFonts w:ascii="Calibri" w:hAnsi="Calibri" w:cs="Calibri"/>
          <w:i/>
          <w:iCs/>
        </w:rPr>
        <w:t>Bubo bubo</w:t>
      </w:r>
      <w:r>
        <w:rPr>
          <w:rFonts w:ascii="Calibri" w:hAnsi="Calibri" w:cs="Calibri"/>
        </w:rPr>
        <w:t>.</w:t>
      </w:r>
    </w:p>
    <w:p w14:paraId="72AA335F" w14:textId="77777777" w:rsidR="00B063F6" w:rsidRDefault="00B063F6" w:rsidP="00B063F6">
      <w:pPr>
        <w:spacing w:before="120" w:after="0" w:line="240" w:lineRule="auto"/>
        <w:jc w:val="both"/>
        <w:rPr>
          <w:sz w:val="24"/>
          <w:szCs w:val="24"/>
        </w:rPr>
      </w:pPr>
      <w:r>
        <w:rPr>
          <w:sz w:val="24"/>
          <w:szCs w:val="24"/>
        </w:rPr>
        <w:t xml:space="preserve">No que respecta ás </w:t>
      </w:r>
      <w:r>
        <w:rPr>
          <w:b/>
          <w:bCs/>
          <w:sz w:val="24"/>
          <w:szCs w:val="24"/>
        </w:rPr>
        <w:t>rapaces nocturnas</w:t>
      </w:r>
      <w:r>
        <w:rPr>
          <w:sz w:val="24"/>
          <w:szCs w:val="24"/>
        </w:rPr>
        <w:t xml:space="preserve">, prevese sobre este grupo de aves un </w:t>
      </w:r>
      <w:r>
        <w:rPr>
          <w:b/>
          <w:bCs/>
          <w:sz w:val="24"/>
          <w:szCs w:val="24"/>
        </w:rPr>
        <w:t>IMPACTO MOI SEVERO</w:t>
      </w:r>
      <w:r>
        <w:rPr>
          <w:sz w:val="24"/>
          <w:szCs w:val="24"/>
        </w:rPr>
        <w:t xml:space="preserve">. Non se incluen no EsIA </w:t>
      </w:r>
      <w:r>
        <w:rPr>
          <w:i/>
          <w:iCs/>
          <w:sz w:val="24"/>
          <w:szCs w:val="24"/>
        </w:rPr>
        <w:t xml:space="preserve">Bubo bubo </w:t>
      </w:r>
      <w:r>
        <w:rPr>
          <w:sz w:val="24"/>
          <w:szCs w:val="24"/>
        </w:rPr>
        <w:t>e</w:t>
      </w:r>
      <w:r>
        <w:rPr>
          <w:i/>
          <w:iCs/>
          <w:sz w:val="24"/>
          <w:szCs w:val="24"/>
        </w:rPr>
        <w:t xml:space="preserve"> Asio otus</w:t>
      </w:r>
      <w:r>
        <w:rPr>
          <w:sz w:val="24"/>
          <w:szCs w:val="24"/>
        </w:rPr>
        <w:t xml:space="preserve">. </w:t>
      </w:r>
      <w:r>
        <w:rPr>
          <w:rFonts w:cs="Calibri"/>
          <w:color w:val="111111"/>
          <w:kern w:val="36"/>
          <w:sz w:val="24"/>
          <w:szCs w:val="24"/>
          <w:lang w:eastAsia="es-ES"/>
        </w:rPr>
        <w:t>O ruido xerado polas turbinas parece ser o factor limitante ata 2 km, posiblemente porque dificultan a localización das súas presas</w:t>
      </w:r>
      <w:r>
        <w:rPr>
          <w:sz w:val="24"/>
          <w:szCs w:val="24"/>
        </w:rPr>
        <w:t>. Polo tanto, é necesario realizar un estudo previo para delimitar as áreas territoriais que ocupan estas rapaces nocturnas e poder así avaliar o impacto do PE.</w:t>
      </w:r>
    </w:p>
    <w:p w14:paraId="0681AE23" w14:textId="77777777" w:rsidR="00B063F6" w:rsidRDefault="00B063F6" w:rsidP="00B063F6">
      <w:pPr>
        <w:pStyle w:val="Standard"/>
        <w:spacing w:before="120"/>
        <w:jc w:val="both"/>
      </w:pPr>
      <w:r>
        <w:rPr>
          <w:rFonts w:ascii="Calibri" w:hAnsi="Calibri"/>
        </w:rPr>
        <w:t>Mención especial merece o bufo real (</w:t>
      </w:r>
      <w:r>
        <w:rPr>
          <w:rFonts w:ascii="Calibri" w:hAnsi="Calibri"/>
          <w:i/>
          <w:iCs/>
        </w:rPr>
        <w:t>Bubo bubo</w:t>
      </w:r>
      <w:r>
        <w:rPr>
          <w:rFonts w:ascii="Calibri" w:hAnsi="Calibri"/>
        </w:rPr>
        <w:t>), especie que nidificaba regularmente na Groba, como se extrae dos testemuños de persoas maiores que habitan en núcleos rurais da serra. Algunhas referencias á súa posibel cría neste espazo natural son relativamente recentes, nomeadamente da década dos 90 do século pasado. Existe, sen embargo, unha imaxe dun exemplar pousado a escasa distancia da posición que ocuparía o aeroxerador AG08, produto dunha observación que - que se saiba - non foi rexistrada. A fotografía foi tomada en 2014.</w:t>
      </w:r>
    </w:p>
    <w:p w14:paraId="38023A79" w14:textId="77777777" w:rsidR="00B063F6" w:rsidRDefault="00B063F6" w:rsidP="00B063F6">
      <w:pPr>
        <w:pStyle w:val="Standard"/>
        <w:spacing w:before="120"/>
        <w:jc w:val="both"/>
      </w:pPr>
      <w:r>
        <w:rPr>
          <w:rFonts w:ascii="Calibri" w:hAnsi="Calibri"/>
        </w:rPr>
        <w:t xml:space="preserve">Esta especie, ademais do Anexo I da citada directiva, está incluída tamén no </w:t>
      </w:r>
      <w:r>
        <w:rPr>
          <w:rFonts w:ascii="Calibri" w:hAnsi="Calibri"/>
          <w:i/>
          <w:iCs/>
        </w:rPr>
        <w:t>Catálogo Galego de Especies Ameazadas</w:t>
      </w:r>
      <w:r>
        <w:rPr>
          <w:rFonts w:ascii="Calibri" w:hAnsi="Calibri"/>
        </w:rPr>
        <w:t xml:space="preserve"> na categoría de “vulnerable”.</w:t>
      </w:r>
    </w:p>
    <w:p w14:paraId="488A11EB" w14:textId="77777777" w:rsidR="00B063F6" w:rsidRDefault="00B063F6" w:rsidP="00B063F6">
      <w:pPr>
        <w:spacing w:before="120" w:line="240" w:lineRule="auto"/>
        <w:jc w:val="both"/>
        <w:rPr>
          <w:sz w:val="24"/>
          <w:szCs w:val="24"/>
        </w:rPr>
      </w:pPr>
      <w:r>
        <w:rPr>
          <w:sz w:val="24"/>
          <w:szCs w:val="24"/>
        </w:rPr>
        <w:t xml:space="preserve">Ainda que a mortalidade por colisión pode non ser significativa para moitas especies de aves, sí o é para as aves rapaces debido á súa longa esperanza de vida e ás reducidas taxas reproductoras. Ainda que as taxas de mortalidade por colisión son moi variables, no caso de </w:t>
      </w:r>
      <w:r>
        <w:rPr>
          <w:b/>
          <w:bCs/>
          <w:i/>
          <w:iCs/>
          <w:sz w:val="24"/>
          <w:szCs w:val="24"/>
        </w:rPr>
        <w:t>Gyps fulvus</w:t>
      </w:r>
      <w:r>
        <w:rPr>
          <w:sz w:val="24"/>
          <w:szCs w:val="24"/>
        </w:rPr>
        <w:t xml:space="preserve"> (conta con varios rexistros na Serra da Groba, ver documento Anexo) estas taxas de mortalidade por impacto son elevadas, acadando nalgúns </w:t>
      </w:r>
      <w:r>
        <w:rPr>
          <w:rFonts w:cs="Calibri"/>
          <w:color w:val="111111"/>
          <w:kern w:val="36"/>
          <w:sz w:val="24"/>
          <w:szCs w:val="24"/>
          <w:lang w:eastAsia="es-ES"/>
        </w:rPr>
        <w:t>casos</w:t>
      </w:r>
      <w:r>
        <w:rPr>
          <w:sz w:val="24"/>
          <w:szCs w:val="24"/>
        </w:rPr>
        <w:t xml:space="preserve"> as 0,41 mortes/turbina e ano. Esta variablidade das taxas de mortantandade por colisión pode deberse a diversos factores tales como a especie, conducta de voo, climatoloxía e topografía arredor da turbina. Nalgúns estudos realizados atópanse diferencias altamente significativas nas taxas de mortalidade entre diferentes turbinas incluso dentro dun mesmo parque eólico, o que suxire factores de risco de colisión relacionados coas condicións locais tales como rasgos topográficos de pequena escala e patróns de vento en cada turbina. Tamén se suxire que a dirección dos ventos, en relación coa conducta das aves, pode ser outro factor involucrado na concentración de accidentes. Isto indica que a elección do sitio de cada turbina pode xogar un importante papel na reducción do número de mortes por colisión. Existen dúas estratexias complementarias para facer posible a coexistencia dos parques eólicos e as aves. Primeiro, débese determinar a correcta localización dos parques eólicos e segundo, débese determinar a correcta localización de cada turbina evitando a instalación de turbinas en sitios perigosos, aínda así poden atoparse mortalidades por colisión.</w:t>
      </w:r>
    </w:p>
    <w:p w14:paraId="73DE35AA" w14:textId="77777777" w:rsidR="00B063F6" w:rsidRDefault="00B063F6" w:rsidP="00B063F6">
      <w:pPr>
        <w:spacing w:before="120" w:line="240" w:lineRule="auto"/>
        <w:jc w:val="both"/>
        <w:rPr>
          <w:sz w:val="24"/>
          <w:szCs w:val="24"/>
        </w:rPr>
      </w:pPr>
      <w:r>
        <w:rPr>
          <w:sz w:val="24"/>
          <w:szCs w:val="24"/>
        </w:rPr>
        <w:t xml:space="preserve">Finalmente, para evitar a colisión coas aves, algúns traballos científicos propoñen pintar as turbinas para facelas máis visibles ou instalar turbinas de torres tubulares, que non ofrecen soportes adecuados para que as aves rapaces se pousen. Ao fío destas últimas medidas, existe unha solución que podería ser a máis efectiva; trátase dun módulo de detección e prevención de colisións co nome de DTBird, deseñado pola empresa española “Lique Consultoría Ambiental, S.L.”, unha empresa de tecnoloxía española especializada na protección da fauna en parques eólicos. </w:t>
      </w:r>
    </w:p>
    <w:p w14:paraId="2EBDBE09" w14:textId="77777777" w:rsidR="00B063F6" w:rsidRDefault="00B063F6" w:rsidP="00B063F6">
      <w:pPr>
        <w:spacing w:before="120" w:after="0" w:line="240" w:lineRule="auto"/>
        <w:jc w:val="both"/>
        <w:rPr>
          <w:sz w:val="24"/>
          <w:szCs w:val="24"/>
        </w:rPr>
      </w:pPr>
      <w:r>
        <w:rPr>
          <w:sz w:val="24"/>
          <w:szCs w:val="24"/>
        </w:rPr>
        <w:t xml:space="preserve">Existen na actualidade sistemas automáticos para a xestión da actividade dos aeroxeradores co obxectivo de reducir o impacto da avifauna cos aeroxeradores tales como </w:t>
      </w:r>
      <w:r>
        <w:rPr>
          <w:b/>
          <w:i/>
          <w:sz w:val="24"/>
          <w:szCs w:val="24"/>
        </w:rPr>
        <w:t>DTBird</w:t>
      </w:r>
      <w:r>
        <w:rPr>
          <w:sz w:val="24"/>
          <w:szCs w:val="24"/>
        </w:rPr>
        <w:t xml:space="preserve"> ou </w:t>
      </w:r>
      <w:r>
        <w:rPr>
          <w:b/>
          <w:i/>
          <w:sz w:val="24"/>
          <w:szCs w:val="24"/>
        </w:rPr>
        <w:t>IdentiFlight</w:t>
      </w:r>
      <w:r>
        <w:rPr>
          <w:b/>
          <w:sz w:val="24"/>
          <w:szCs w:val="24"/>
        </w:rPr>
        <w:t>.</w:t>
      </w:r>
      <w:r>
        <w:rPr>
          <w:sz w:val="24"/>
          <w:szCs w:val="24"/>
        </w:rPr>
        <w:t xml:space="preserve"> Trátase de sistemas automáticos desenvolvidos para monitorizar a avifa una nas fases iniciais dun </w:t>
      </w:r>
      <w:r>
        <w:rPr>
          <w:sz w:val="24"/>
          <w:szCs w:val="24"/>
        </w:rPr>
        <w:lastRenderedPageBreak/>
        <w:t>proxecto eólico ou reducir a mortalidade de aves nos parques eólicos en operación, con igual funcionalidade tanto en parques eólicos terrestres como mariños. Tamén existe un sistema específico para os morcegos denominado DTBat, que funciona de forma similar. O módulo conta cunha plataforma que proporciona acceso en liña aos voos de aves e morcegos, gravados en vídeos e audio, así como datos ambientais e parámetros de operación dos aeroxeradores. Dispón de ferramentas de análise e exportación de datos, e permite a elaboración automática de informes, con táboas e gráficos que recollen a actividade das aves e as accións tomadas por todos os módulos de DTBird ou DTBat; o que conleva á verdadeira transparencia na información ambiental. En ningún caso se contempla a instalación destes sistemas coa finalidade de aminorar os impactos sobre a avifauna.</w:t>
      </w:r>
    </w:p>
    <w:p w14:paraId="40301BBD" w14:textId="77777777" w:rsidR="00B063F6" w:rsidRDefault="00B063F6" w:rsidP="00B063F6">
      <w:pPr>
        <w:pBdr>
          <w:top w:val="single" w:sz="4" w:space="1" w:color="auto"/>
          <w:left w:val="single" w:sz="4" w:space="4" w:color="auto"/>
          <w:bottom w:val="single" w:sz="4" w:space="1" w:color="auto"/>
          <w:right w:val="single" w:sz="4" w:space="4" w:color="auto"/>
        </w:pBdr>
        <w:spacing w:before="120" w:after="0" w:line="240" w:lineRule="auto"/>
        <w:jc w:val="both"/>
        <w:rPr>
          <w:rFonts w:cs="Calibri"/>
          <w:sz w:val="24"/>
          <w:szCs w:val="24"/>
          <w:lang w:eastAsia="es-ES"/>
        </w:rPr>
      </w:pPr>
      <w:r>
        <w:rPr>
          <w:rFonts w:cs="Calibri"/>
          <w:sz w:val="24"/>
          <w:szCs w:val="24"/>
          <w:lang w:eastAsia="es-ES"/>
        </w:rPr>
        <w:t>Tendo en conta que o EsIA establece que “</w:t>
      </w:r>
      <w:r>
        <w:rPr>
          <w:rFonts w:cs="Calibri"/>
          <w:i/>
          <w:sz w:val="24"/>
          <w:szCs w:val="24"/>
          <w:lang w:eastAsia="es-ES"/>
        </w:rPr>
        <w:t>todos os aeroxeradores pintaranse íntegramente de cor branca ou grisácea, incluindo rotor, a góndola e o fuste</w:t>
      </w:r>
      <w:r>
        <w:rPr>
          <w:rFonts w:cs="Calibri"/>
          <w:sz w:val="24"/>
          <w:szCs w:val="24"/>
          <w:lang w:eastAsia="es-ES"/>
        </w:rPr>
        <w:t xml:space="preserve">” e que a altitude da zona ocupada polo PE está gran parte do ano cuberta de néboa, os efectos sobre a mortalidade en aves por colisión prevense </w:t>
      </w:r>
      <w:r>
        <w:rPr>
          <w:rFonts w:cs="Calibri"/>
          <w:b/>
          <w:bCs/>
          <w:sz w:val="24"/>
          <w:szCs w:val="24"/>
          <w:lang w:eastAsia="es-ES"/>
        </w:rPr>
        <w:t>MOI SEVEROS</w:t>
      </w:r>
      <w:r>
        <w:rPr>
          <w:rFonts w:cs="Calibri"/>
          <w:sz w:val="24"/>
          <w:szCs w:val="24"/>
          <w:lang w:eastAsia="es-ES"/>
        </w:rPr>
        <w:t xml:space="preserve"> e en calquera caso deberían ser inasumibles.</w:t>
      </w:r>
    </w:p>
    <w:p w14:paraId="7E7DE52B" w14:textId="77777777" w:rsidR="00AE5A25" w:rsidRDefault="00AE5A25" w:rsidP="006F212D">
      <w:pPr>
        <w:spacing w:after="0" w:line="240" w:lineRule="auto"/>
        <w:jc w:val="both"/>
        <w:rPr>
          <w:rStyle w:val="Hipervnculo"/>
          <w:rFonts w:cstheme="minorHAnsi"/>
          <w:sz w:val="24"/>
          <w:szCs w:val="24"/>
        </w:rPr>
      </w:pPr>
    </w:p>
    <w:p w14:paraId="5E473C96" w14:textId="77777777" w:rsidR="00AE5A25" w:rsidRPr="00AE5A25" w:rsidRDefault="00AE5A25" w:rsidP="00AE5A25">
      <w:pPr>
        <w:pStyle w:val="Prrafodelista"/>
        <w:numPr>
          <w:ilvl w:val="0"/>
          <w:numId w:val="11"/>
        </w:numPr>
        <w:shd w:val="clear" w:color="auto" w:fill="D9E2F3"/>
        <w:spacing w:before="120"/>
        <w:ind w:left="1843" w:hanging="1843"/>
        <w:jc w:val="both"/>
        <w:outlineLvl w:val="0"/>
        <w:rPr>
          <w:b/>
          <w:vanish/>
          <w:sz w:val="24"/>
          <w:szCs w:val="24"/>
        </w:rPr>
      </w:pPr>
      <w:bookmarkStart w:id="385" w:name="_Toc132508954"/>
      <w:bookmarkStart w:id="386" w:name="_Toc132510423"/>
      <w:bookmarkStart w:id="387" w:name="_Toc132510541"/>
      <w:bookmarkStart w:id="388" w:name="_Toc132510656"/>
      <w:bookmarkStart w:id="389" w:name="_Toc132510901"/>
      <w:bookmarkStart w:id="390" w:name="_Toc132511014"/>
      <w:bookmarkStart w:id="391" w:name="_Toc88004913"/>
      <w:bookmarkEnd w:id="385"/>
      <w:bookmarkEnd w:id="386"/>
      <w:bookmarkEnd w:id="387"/>
      <w:bookmarkEnd w:id="388"/>
      <w:bookmarkEnd w:id="389"/>
      <w:bookmarkEnd w:id="390"/>
    </w:p>
    <w:p w14:paraId="6F0C6B81" w14:textId="589B70E7" w:rsidR="00AE5A25" w:rsidRPr="003A3EF0" w:rsidRDefault="00AE5A25" w:rsidP="00AE5A25">
      <w:pPr>
        <w:pStyle w:val="Prrafodelista"/>
        <w:numPr>
          <w:ilvl w:val="0"/>
          <w:numId w:val="11"/>
        </w:numPr>
        <w:shd w:val="clear" w:color="auto" w:fill="D9E2F3"/>
        <w:spacing w:before="120"/>
        <w:ind w:left="1843" w:hanging="1843"/>
        <w:jc w:val="both"/>
        <w:outlineLvl w:val="0"/>
        <w:rPr>
          <w:b/>
          <w:sz w:val="24"/>
          <w:szCs w:val="24"/>
        </w:rPr>
      </w:pPr>
      <w:bookmarkStart w:id="392" w:name="_Toc132511015"/>
      <w:r w:rsidRPr="003A3EF0">
        <w:rPr>
          <w:b/>
          <w:sz w:val="24"/>
          <w:szCs w:val="24"/>
        </w:rPr>
        <w:t>Deficiente avaliación sobre os efectos sobre á quiropterofauna (morcegos).</w:t>
      </w:r>
      <w:bookmarkEnd w:id="391"/>
      <w:bookmarkEnd w:id="392"/>
    </w:p>
    <w:p w14:paraId="4A852767" w14:textId="32E0CAB1" w:rsidR="00AE5A25" w:rsidRPr="00952B26" w:rsidRDefault="00AE5A25" w:rsidP="00AE5A25">
      <w:pPr>
        <w:spacing w:before="120" w:after="0" w:line="240" w:lineRule="auto"/>
        <w:jc w:val="both"/>
        <w:rPr>
          <w:sz w:val="24"/>
          <w:szCs w:val="24"/>
        </w:rPr>
      </w:pPr>
      <w:r w:rsidRPr="00952B26">
        <w:rPr>
          <w:sz w:val="24"/>
          <w:szCs w:val="24"/>
        </w:rPr>
        <w:t xml:space="preserve">O estudo de quirópteros pon de manifesto </w:t>
      </w:r>
      <w:r>
        <w:rPr>
          <w:sz w:val="24"/>
          <w:szCs w:val="24"/>
        </w:rPr>
        <w:t xml:space="preserve">a deficiente metodoloxía empregada. No EsIA do PE Toroña, cuxa poligonal se superopón coa </w:t>
      </w:r>
      <w:r w:rsidR="009B090C">
        <w:rPr>
          <w:sz w:val="24"/>
          <w:szCs w:val="24"/>
        </w:rPr>
        <w:t xml:space="preserve">do </w:t>
      </w:r>
      <w:r>
        <w:rPr>
          <w:sz w:val="24"/>
          <w:szCs w:val="24"/>
        </w:rPr>
        <w:t xml:space="preserve">PE Torroña I púxose de manifestó </w:t>
      </w:r>
      <w:r w:rsidRPr="00952B26">
        <w:rPr>
          <w:sz w:val="24"/>
          <w:szCs w:val="24"/>
        </w:rPr>
        <w:t xml:space="preserve">a importancia da área de implantación do PE </w:t>
      </w:r>
      <w:r>
        <w:rPr>
          <w:sz w:val="24"/>
          <w:szCs w:val="24"/>
        </w:rPr>
        <w:t>Torroña I</w:t>
      </w:r>
      <w:r w:rsidRPr="00952B26">
        <w:rPr>
          <w:sz w:val="24"/>
          <w:szCs w:val="24"/>
        </w:rPr>
        <w:t xml:space="preserve"> para a alimentación desta comunidade de organismos, especialmente para as especies dos xéneros </w:t>
      </w:r>
      <w:r w:rsidRPr="00952B26">
        <w:rPr>
          <w:i/>
          <w:sz w:val="24"/>
          <w:szCs w:val="24"/>
        </w:rPr>
        <w:t>Myotis</w:t>
      </w:r>
      <w:r w:rsidRPr="00952B26">
        <w:rPr>
          <w:sz w:val="24"/>
          <w:szCs w:val="24"/>
        </w:rPr>
        <w:t xml:space="preserve"> e </w:t>
      </w:r>
      <w:r w:rsidRPr="00952B26">
        <w:rPr>
          <w:i/>
          <w:sz w:val="24"/>
          <w:szCs w:val="24"/>
        </w:rPr>
        <w:t>Rhinolophus</w:t>
      </w:r>
      <w:r w:rsidRPr="00952B26">
        <w:rPr>
          <w:sz w:val="24"/>
          <w:szCs w:val="24"/>
        </w:rPr>
        <w:t xml:space="preserve"> e como área de paso de especies migratorias como </w:t>
      </w:r>
      <w:r w:rsidRPr="00952B26">
        <w:rPr>
          <w:i/>
          <w:sz w:val="24"/>
          <w:szCs w:val="24"/>
        </w:rPr>
        <w:t>Nyctalus leisleri</w:t>
      </w:r>
      <w:r w:rsidRPr="00952B26">
        <w:rPr>
          <w:sz w:val="24"/>
          <w:szCs w:val="24"/>
        </w:rPr>
        <w:t xml:space="preserve"> ou </w:t>
      </w:r>
      <w:r w:rsidRPr="00952B26">
        <w:rPr>
          <w:i/>
          <w:sz w:val="24"/>
          <w:szCs w:val="24"/>
        </w:rPr>
        <w:t>Nyctalus lasiopterus</w:t>
      </w:r>
      <w:r w:rsidRPr="00952B26">
        <w:rPr>
          <w:sz w:val="24"/>
          <w:szCs w:val="24"/>
        </w:rPr>
        <w:t>.</w:t>
      </w:r>
    </w:p>
    <w:p w14:paraId="714577B3" w14:textId="77777777" w:rsidR="00AE5A25" w:rsidRPr="00952B26" w:rsidRDefault="00AE5A25" w:rsidP="00AE5A25">
      <w:pPr>
        <w:spacing w:before="120" w:after="0" w:line="240" w:lineRule="auto"/>
        <w:jc w:val="both"/>
        <w:rPr>
          <w:sz w:val="24"/>
          <w:szCs w:val="24"/>
        </w:rPr>
      </w:pPr>
      <w:r w:rsidRPr="00952B26">
        <w:rPr>
          <w:sz w:val="24"/>
          <w:szCs w:val="24"/>
        </w:rPr>
        <w:t xml:space="preserve">As especies detectadas na área de estudo </w:t>
      </w:r>
      <w:r>
        <w:rPr>
          <w:sz w:val="24"/>
          <w:szCs w:val="24"/>
        </w:rPr>
        <w:t xml:space="preserve">para o PE Toroña </w:t>
      </w:r>
      <w:r w:rsidRPr="00952B26">
        <w:rPr>
          <w:sz w:val="24"/>
          <w:szCs w:val="24"/>
        </w:rPr>
        <w:t>foron:</w:t>
      </w:r>
    </w:p>
    <w:p w14:paraId="110E13B4" w14:textId="77777777" w:rsidR="00AE5A25" w:rsidRPr="00952B26" w:rsidRDefault="00AE5A25" w:rsidP="00AE5A25">
      <w:pPr>
        <w:spacing w:before="120" w:after="0" w:line="240" w:lineRule="auto"/>
        <w:ind w:left="707"/>
        <w:jc w:val="both"/>
        <w:rPr>
          <w:i/>
          <w:sz w:val="24"/>
          <w:szCs w:val="24"/>
          <w:lang w:val="en-GB"/>
        </w:rPr>
      </w:pPr>
      <w:r w:rsidRPr="00952B26">
        <w:rPr>
          <w:i/>
          <w:sz w:val="24"/>
          <w:szCs w:val="24"/>
          <w:lang w:val="en-GB"/>
        </w:rPr>
        <w:t>Eptesicus serotinus</w:t>
      </w:r>
    </w:p>
    <w:p w14:paraId="641695AA" w14:textId="77777777" w:rsidR="00AE5A25" w:rsidRPr="00952B26" w:rsidRDefault="00AE5A25" w:rsidP="00AE5A25">
      <w:pPr>
        <w:spacing w:after="0" w:line="240" w:lineRule="auto"/>
        <w:ind w:left="709"/>
        <w:jc w:val="both"/>
        <w:rPr>
          <w:i/>
          <w:sz w:val="24"/>
          <w:szCs w:val="24"/>
          <w:lang w:val="en-GB"/>
        </w:rPr>
      </w:pPr>
      <w:r w:rsidRPr="00952B26">
        <w:rPr>
          <w:i/>
          <w:sz w:val="24"/>
          <w:szCs w:val="24"/>
          <w:lang w:val="en-GB"/>
        </w:rPr>
        <w:t>Pipistrellus pipistrellus</w:t>
      </w:r>
    </w:p>
    <w:p w14:paraId="51787A37" w14:textId="77777777" w:rsidR="00AE5A25" w:rsidRPr="00952B26" w:rsidRDefault="00AE5A25" w:rsidP="00AE5A25">
      <w:pPr>
        <w:spacing w:after="0" w:line="240" w:lineRule="auto"/>
        <w:ind w:left="709"/>
        <w:jc w:val="both"/>
        <w:rPr>
          <w:i/>
          <w:sz w:val="24"/>
          <w:szCs w:val="24"/>
          <w:lang w:val="en-GB"/>
        </w:rPr>
      </w:pPr>
      <w:r w:rsidRPr="00952B26">
        <w:rPr>
          <w:i/>
          <w:sz w:val="24"/>
          <w:szCs w:val="24"/>
          <w:lang w:val="en-GB"/>
        </w:rPr>
        <w:t>Pipistrellus kuhlii</w:t>
      </w:r>
    </w:p>
    <w:p w14:paraId="15F5798F" w14:textId="77777777" w:rsidR="00AE5A25" w:rsidRPr="00952B26" w:rsidRDefault="00AE5A25" w:rsidP="00AE5A25">
      <w:pPr>
        <w:spacing w:after="0" w:line="240" w:lineRule="auto"/>
        <w:ind w:left="709"/>
        <w:jc w:val="both"/>
        <w:rPr>
          <w:i/>
          <w:sz w:val="24"/>
          <w:szCs w:val="24"/>
          <w:lang w:val="en-GB"/>
        </w:rPr>
      </w:pPr>
      <w:r w:rsidRPr="00952B26">
        <w:rPr>
          <w:i/>
          <w:sz w:val="24"/>
          <w:szCs w:val="24"/>
          <w:lang w:val="en-GB"/>
        </w:rPr>
        <w:t>Pipistrallus nathusii</w:t>
      </w:r>
    </w:p>
    <w:p w14:paraId="054513CE" w14:textId="77777777" w:rsidR="00AE5A25" w:rsidRPr="00952B26" w:rsidRDefault="00AE5A25" w:rsidP="00AE5A25">
      <w:pPr>
        <w:spacing w:after="0" w:line="240" w:lineRule="auto"/>
        <w:ind w:left="709"/>
        <w:jc w:val="both"/>
        <w:rPr>
          <w:i/>
          <w:sz w:val="24"/>
          <w:szCs w:val="24"/>
          <w:lang w:val="en-GB"/>
        </w:rPr>
      </w:pPr>
      <w:r w:rsidRPr="00952B26">
        <w:rPr>
          <w:i/>
          <w:sz w:val="24"/>
          <w:szCs w:val="24"/>
          <w:lang w:val="en-GB"/>
        </w:rPr>
        <w:t>Nyctalus lasiopterus</w:t>
      </w:r>
    </w:p>
    <w:p w14:paraId="461589CC" w14:textId="77777777" w:rsidR="00AE5A25" w:rsidRPr="00952B26" w:rsidRDefault="00AE5A25" w:rsidP="00AE5A25">
      <w:pPr>
        <w:spacing w:after="0" w:line="240" w:lineRule="auto"/>
        <w:ind w:left="707"/>
        <w:jc w:val="both"/>
        <w:rPr>
          <w:sz w:val="24"/>
          <w:szCs w:val="24"/>
          <w:lang w:val="en-GB"/>
        </w:rPr>
      </w:pPr>
      <w:r w:rsidRPr="00952B26">
        <w:rPr>
          <w:i/>
          <w:sz w:val="24"/>
          <w:szCs w:val="24"/>
          <w:lang w:val="en-GB"/>
        </w:rPr>
        <w:t>Nyctalus leisleri</w:t>
      </w:r>
      <w:r w:rsidRPr="00952B26">
        <w:rPr>
          <w:sz w:val="24"/>
          <w:szCs w:val="24"/>
          <w:lang w:val="en-GB"/>
        </w:rPr>
        <w:t xml:space="preserve"> (VULNERABLE)</w:t>
      </w:r>
    </w:p>
    <w:p w14:paraId="43542748" w14:textId="77777777" w:rsidR="00AE5A25" w:rsidRPr="00952B26" w:rsidRDefault="00AE5A25" w:rsidP="00AE5A25">
      <w:pPr>
        <w:spacing w:after="0" w:line="240" w:lineRule="auto"/>
        <w:ind w:left="707"/>
        <w:jc w:val="both"/>
        <w:rPr>
          <w:sz w:val="24"/>
          <w:szCs w:val="24"/>
          <w:lang w:val="en-GB"/>
        </w:rPr>
      </w:pPr>
      <w:r w:rsidRPr="00952B26">
        <w:rPr>
          <w:i/>
          <w:sz w:val="24"/>
          <w:szCs w:val="24"/>
          <w:lang w:val="en-GB"/>
        </w:rPr>
        <w:t>Miniopteurs schreibersii</w:t>
      </w:r>
      <w:r w:rsidRPr="00952B26">
        <w:rPr>
          <w:sz w:val="24"/>
          <w:szCs w:val="24"/>
          <w:lang w:val="en-GB"/>
        </w:rPr>
        <w:t xml:space="preserve"> (VULNERABLE)</w:t>
      </w:r>
    </w:p>
    <w:p w14:paraId="0E73DCA3" w14:textId="77777777" w:rsidR="00AE5A25" w:rsidRPr="00952B26" w:rsidRDefault="00AE5A25" w:rsidP="00AE5A25">
      <w:pPr>
        <w:spacing w:after="0" w:line="240" w:lineRule="auto"/>
        <w:ind w:left="707"/>
        <w:jc w:val="both"/>
        <w:rPr>
          <w:sz w:val="24"/>
          <w:szCs w:val="24"/>
          <w:lang w:val="en-GB"/>
        </w:rPr>
      </w:pPr>
      <w:r w:rsidRPr="00952B26">
        <w:rPr>
          <w:i/>
          <w:sz w:val="24"/>
          <w:szCs w:val="24"/>
          <w:lang w:val="en-GB"/>
        </w:rPr>
        <w:t>Barbastella barbastellus</w:t>
      </w:r>
      <w:r w:rsidRPr="00952B26">
        <w:rPr>
          <w:sz w:val="24"/>
          <w:szCs w:val="24"/>
          <w:lang w:val="en-GB"/>
        </w:rPr>
        <w:t xml:space="preserve"> (ANEXO II Directiva Hábitats)</w:t>
      </w:r>
    </w:p>
    <w:p w14:paraId="0DE406C6" w14:textId="77777777" w:rsidR="00AE5A25" w:rsidRPr="00952B26" w:rsidRDefault="00AE5A25" w:rsidP="00AE5A25">
      <w:pPr>
        <w:spacing w:after="0" w:line="240" w:lineRule="auto"/>
        <w:ind w:left="707"/>
        <w:jc w:val="both"/>
        <w:rPr>
          <w:sz w:val="24"/>
          <w:szCs w:val="24"/>
          <w:lang w:val="en-GB"/>
        </w:rPr>
      </w:pPr>
      <w:r w:rsidRPr="00952B26">
        <w:rPr>
          <w:i/>
          <w:sz w:val="24"/>
          <w:szCs w:val="24"/>
          <w:lang w:val="en-GB"/>
        </w:rPr>
        <w:t>Rhinolophus euryale</w:t>
      </w:r>
      <w:r w:rsidRPr="00952B26">
        <w:rPr>
          <w:sz w:val="24"/>
          <w:szCs w:val="24"/>
          <w:lang w:val="en-GB"/>
        </w:rPr>
        <w:t xml:space="preserve"> (VULNERABLE, ANEXO II Directiva Hábitats)</w:t>
      </w:r>
    </w:p>
    <w:p w14:paraId="7FE49E30" w14:textId="77777777" w:rsidR="00AE5A25" w:rsidRPr="00952B26" w:rsidRDefault="00AE5A25" w:rsidP="00AE5A25">
      <w:pPr>
        <w:spacing w:after="0" w:line="240" w:lineRule="auto"/>
        <w:ind w:left="707"/>
        <w:jc w:val="both"/>
        <w:rPr>
          <w:sz w:val="24"/>
          <w:szCs w:val="24"/>
          <w:lang w:val="en-GB"/>
        </w:rPr>
      </w:pPr>
      <w:r w:rsidRPr="00952B26">
        <w:rPr>
          <w:i/>
          <w:sz w:val="24"/>
          <w:szCs w:val="24"/>
          <w:lang w:val="en-GB"/>
        </w:rPr>
        <w:t>Rhinolophus hipposideros</w:t>
      </w:r>
      <w:r w:rsidRPr="00952B26">
        <w:rPr>
          <w:sz w:val="24"/>
          <w:szCs w:val="24"/>
          <w:lang w:val="en-GB"/>
        </w:rPr>
        <w:t xml:space="preserve"> (VULNERABLE, ANEXO II Directiva Hábitats)</w:t>
      </w:r>
    </w:p>
    <w:p w14:paraId="0095837D" w14:textId="77777777" w:rsidR="00AE5A25" w:rsidRPr="00952B26" w:rsidRDefault="00AE5A25" w:rsidP="00AE5A25">
      <w:pPr>
        <w:spacing w:after="0" w:line="240" w:lineRule="auto"/>
        <w:ind w:left="707"/>
        <w:jc w:val="both"/>
        <w:rPr>
          <w:sz w:val="24"/>
          <w:szCs w:val="24"/>
        </w:rPr>
      </w:pPr>
      <w:r w:rsidRPr="00952B26">
        <w:rPr>
          <w:i/>
          <w:sz w:val="24"/>
          <w:szCs w:val="24"/>
        </w:rPr>
        <w:t>Rhinolophus ferrumequinum</w:t>
      </w:r>
      <w:r w:rsidRPr="00952B26">
        <w:rPr>
          <w:sz w:val="24"/>
          <w:szCs w:val="24"/>
        </w:rPr>
        <w:t xml:space="preserve"> (VULNERABLE, ANEXO II Directiva Hábitats)</w:t>
      </w:r>
    </w:p>
    <w:p w14:paraId="02E2030B" w14:textId="77777777" w:rsidR="00AE5A25" w:rsidRPr="00952B26" w:rsidRDefault="00AE5A25" w:rsidP="00AE5A25">
      <w:pPr>
        <w:spacing w:before="120" w:after="0" w:line="240" w:lineRule="auto"/>
        <w:jc w:val="both"/>
        <w:rPr>
          <w:sz w:val="24"/>
          <w:szCs w:val="24"/>
        </w:rPr>
      </w:pPr>
      <w:r w:rsidRPr="00952B26">
        <w:rPr>
          <w:sz w:val="24"/>
          <w:szCs w:val="24"/>
        </w:rPr>
        <w:t>As 7 primeiras especies posúen un elevado-moderado risco de colisión cos aeroxeradores.</w:t>
      </w:r>
    </w:p>
    <w:p w14:paraId="339B6C0E" w14:textId="77777777" w:rsidR="00AE5A25" w:rsidRDefault="00AE5A25" w:rsidP="00AE5A25">
      <w:pPr>
        <w:spacing w:before="120" w:after="0" w:line="240" w:lineRule="auto"/>
        <w:jc w:val="both"/>
        <w:rPr>
          <w:sz w:val="24"/>
          <w:szCs w:val="24"/>
        </w:rPr>
      </w:pPr>
      <w:r>
        <w:rPr>
          <w:sz w:val="24"/>
          <w:szCs w:val="24"/>
        </w:rPr>
        <w:t>Mestres tanto, no EsIA do PE Torroña I tan só se detectou a presenza de :</w:t>
      </w:r>
    </w:p>
    <w:p w14:paraId="6C8D16C1" w14:textId="77777777" w:rsidR="00AE5A25" w:rsidRPr="00324F1C" w:rsidRDefault="00AE5A25" w:rsidP="00AE5A25">
      <w:pPr>
        <w:spacing w:after="0" w:line="240" w:lineRule="auto"/>
        <w:ind w:left="709"/>
        <w:jc w:val="both"/>
        <w:rPr>
          <w:i/>
          <w:sz w:val="24"/>
          <w:szCs w:val="24"/>
          <w:lang w:val="en-GB"/>
        </w:rPr>
      </w:pPr>
      <w:r w:rsidRPr="00324F1C">
        <w:rPr>
          <w:i/>
          <w:sz w:val="24"/>
          <w:szCs w:val="24"/>
          <w:lang w:val="en-GB"/>
        </w:rPr>
        <w:t>Pipistrellus pipistrellus</w:t>
      </w:r>
    </w:p>
    <w:p w14:paraId="7BAEEE79" w14:textId="77777777" w:rsidR="00AE5A25" w:rsidRPr="00324F1C" w:rsidRDefault="00AE5A25" w:rsidP="00AE5A25">
      <w:pPr>
        <w:spacing w:after="0" w:line="240" w:lineRule="auto"/>
        <w:ind w:left="709"/>
        <w:jc w:val="both"/>
        <w:rPr>
          <w:i/>
          <w:sz w:val="24"/>
          <w:szCs w:val="24"/>
          <w:lang w:val="en-GB"/>
        </w:rPr>
      </w:pPr>
      <w:r w:rsidRPr="00324F1C">
        <w:rPr>
          <w:i/>
          <w:sz w:val="24"/>
          <w:szCs w:val="24"/>
          <w:lang w:val="en-GB"/>
        </w:rPr>
        <w:t>Eptesicus serotinus</w:t>
      </w:r>
    </w:p>
    <w:p w14:paraId="00FF7FE3" w14:textId="77777777" w:rsidR="00AE5A25" w:rsidRPr="00324F1C" w:rsidRDefault="00AE5A25" w:rsidP="00AE5A25">
      <w:pPr>
        <w:spacing w:after="0" w:line="240" w:lineRule="auto"/>
        <w:ind w:left="709"/>
        <w:jc w:val="both"/>
        <w:rPr>
          <w:i/>
          <w:sz w:val="24"/>
          <w:szCs w:val="24"/>
          <w:lang w:val="en-GB"/>
        </w:rPr>
      </w:pPr>
      <w:r w:rsidRPr="00324F1C">
        <w:rPr>
          <w:i/>
          <w:sz w:val="24"/>
          <w:szCs w:val="24"/>
          <w:lang w:val="en-GB"/>
        </w:rPr>
        <w:t>Barbastrellus pipistrellus</w:t>
      </w:r>
    </w:p>
    <w:p w14:paraId="64D9D88A" w14:textId="77777777" w:rsidR="00AE5A25" w:rsidRPr="00324F1C" w:rsidRDefault="00AE5A25" w:rsidP="00AE5A25">
      <w:pPr>
        <w:spacing w:after="0" w:line="240" w:lineRule="auto"/>
        <w:ind w:left="709"/>
        <w:jc w:val="both"/>
        <w:rPr>
          <w:i/>
          <w:sz w:val="24"/>
          <w:szCs w:val="24"/>
          <w:lang w:val="en-GB"/>
        </w:rPr>
      </w:pPr>
      <w:r w:rsidRPr="00324F1C">
        <w:rPr>
          <w:i/>
          <w:sz w:val="24"/>
          <w:szCs w:val="24"/>
          <w:lang w:val="en-GB"/>
        </w:rPr>
        <w:t>Rhinolophus ferrumequinum</w:t>
      </w:r>
    </w:p>
    <w:p w14:paraId="1455255D" w14:textId="77777777" w:rsidR="00AE5A25" w:rsidRDefault="00AE5A25" w:rsidP="00AE5A25">
      <w:pPr>
        <w:spacing w:before="120" w:after="0" w:line="240" w:lineRule="auto"/>
        <w:jc w:val="both"/>
        <w:rPr>
          <w:sz w:val="24"/>
          <w:szCs w:val="24"/>
        </w:rPr>
      </w:pPr>
      <w:r>
        <w:rPr>
          <w:sz w:val="24"/>
          <w:szCs w:val="24"/>
        </w:rPr>
        <w:t xml:space="preserve">Claramente o inventario de quirópteros supón una </w:t>
      </w:r>
      <w:r w:rsidRPr="00324F1C">
        <w:rPr>
          <w:b/>
          <w:bCs/>
          <w:sz w:val="24"/>
          <w:szCs w:val="24"/>
        </w:rPr>
        <w:t>subestima das especies presentes</w:t>
      </w:r>
      <w:r>
        <w:rPr>
          <w:sz w:val="24"/>
          <w:szCs w:val="24"/>
        </w:rPr>
        <w:t>.</w:t>
      </w:r>
    </w:p>
    <w:p w14:paraId="21873010" w14:textId="77777777" w:rsidR="00AE5A25" w:rsidRPr="00952B26" w:rsidRDefault="00AE5A25" w:rsidP="00AE5A25">
      <w:pPr>
        <w:spacing w:before="120" w:after="0" w:line="240" w:lineRule="auto"/>
        <w:jc w:val="both"/>
        <w:rPr>
          <w:rFonts w:cs="Calibri"/>
          <w:bCs/>
          <w:kern w:val="36"/>
          <w:sz w:val="24"/>
          <w:szCs w:val="24"/>
          <w:lang w:eastAsia="es-ES"/>
        </w:rPr>
      </w:pPr>
      <w:r w:rsidRPr="00952B26">
        <w:rPr>
          <w:sz w:val="24"/>
          <w:szCs w:val="24"/>
        </w:rPr>
        <w:t xml:space="preserve">Existen diversas directrices (SECEMU, PNUMA/EUROBATS, SEO/BirdLife, Documento de orientación sobre os proxectos de enerxía eólica e a lexislación da UE sobre protección da Natureza -C(2020) 7730 final-, Alcance de estudio de impacto ambiental de proyecto de parque eólico terrestre – MITECO, 2020-) que indican que a valoración da posible incidencia das </w:t>
      </w:r>
      <w:r w:rsidRPr="00952B26">
        <w:rPr>
          <w:sz w:val="24"/>
          <w:szCs w:val="24"/>
        </w:rPr>
        <w:lastRenderedPageBreak/>
        <w:t>instalacións eólicas nas poboacións de morcegos requiren dispoñer de información previa á instalación dos aeroxeradores</w:t>
      </w:r>
      <w:r w:rsidRPr="00952B26">
        <w:rPr>
          <w:rFonts w:cs="Calibri"/>
          <w:bCs/>
          <w:kern w:val="36"/>
          <w:sz w:val="24"/>
          <w:szCs w:val="24"/>
          <w:lang w:eastAsia="es-ES"/>
        </w:rPr>
        <w:t xml:space="preserve">. Tal e como se recolle nestas directrices, para o deseño do PE débese realizar un estudo de mostraxe acústica a diferentes alturas co obxectivo de identificar a actividade das diferentes especies de morcegos. Estes estudos acústicos permiten tamén obter información acerca da actividade dos morcegos na zona de implantación do PE. Debido a que existe unha relación significativa entre a actividade dos morcegos e o biotopo e as condicións climáticas (baixa velocidade do vento, baixo nivel de iluminación da Lúa e altos niveis de nubosidade), os estudos acústicos deben realizarse de xeito exhaustivo e deberán estar sempre relacionados coa información sobre a temperatura, vento e humidade rexistradas </w:t>
      </w:r>
      <w:r w:rsidRPr="00952B26">
        <w:rPr>
          <w:rFonts w:cs="Calibri"/>
          <w:bCs/>
          <w:i/>
          <w:iCs/>
          <w:kern w:val="36"/>
          <w:sz w:val="24"/>
          <w:szCs w:val="24"/>
          <w:lang w:eastAsia="es-ES"/>
        </w:rPr>
        <w:t>in situ</w:t>
      </w:r>
      <w:r w:rsidRPr="00952B26">
        <w:rPr>
          <w:rFonts w:cs="Calibri"/>
          <w:bCs/>
          <w:kern w:val="36"/>
          <w:sz w:val="24"/>
          <w:szCs w:val="24"/>
          <w:lang w:eastAsia="es-ES"/>
        </w:rPr>
        <w:t xml:space="preserve"> nos mesmos periodos de mostraxe. Asimesmo, dado que os sistemas de balizamento luminosos dos aeroxeradores xeran concentración de insectos ás que acoden algunas especies de morcegos para buscar alimento, estes sistemas de balizamento deberán ser considerados e valorados aportando información precisa sobre a actividade dos quirópteros no seu entorno.</w:t>
      </w:r>
    </w:p>
    <w:p w14:paraId="5A4B9008" w14:textId="77777777" w:rsidR="00AE5A25" w:rsidRPr="00952B26" w:rsidRDefault="00AE5A25" w:rsidP="00AE5A25">
      <w:pPr>
        <w:pBdr>
          <w:top w:val="single" w:sz="4" w:space="1" w:color="auto"/>
          <w:left w:val="single" w:sz="4" w:space="4" w:color="auto"/>
          <w:bottom w:val="single" w:sz="4" w:space="1" w:color="auto"/>
          <w:right w:val="single" w:sz="4" w:space="4" w:color="auto"/>
        </w:pBdr>
        <w:spacing w:before="120" w:after="0" w:line="240" w:lineRule="auto"/>
        <w:jc w:val="both"/>
        <w:rPr>
          <w:rFonts w:cs="Calibri"/>
          <w:bCs/>
          <w:kern w:val="36"/>
          <w:sz w:val="24"/>
          <w:szCs w:val="24"/>
          <w:lang w:eastAsia="es-ES"/>
        </w:rPr>
      </w:pPr>
      <w:r w:rsidRPr="00952B26">
        <w:rPr>
          <w:sz w:val="24"/>
          <w:szCs w:val="24"/>
        </w:rPr>
        <w:t>Non se realizou un estudo de mostraxe acústica nin a diferentes alturas nin na totalidade da área afectada polo PE nin se tiveron en conta as balizas luminosas dos aeroxeradores.</w:t>
      </w:r>
    </w:p>
    <w:p w14:paraId="1FE161EB" w14:textId="77777777" w:rsidR="00AE5A25" w:rsidRPr="00952B26" w:rsidRDefault="00AE5A25" w:rsidP="00AE5A25">
      <w:pPr>
        <w:spacing w:before="120" w:after="0" w:line="240" w:lineRule="auto"/>
        <w:jc w:val="both"/>
        <w:rPr>
          <w:sz w:val="24"/>
          <w:szCs w:val="24"/>
        </w:rPr>
      </w:pPr>
      <w:r w:rsidRPr="00952B26">
        <w:rPr>
          <w:sz w:val="24"/>
          <w:szCs w:val="24"/>
        </w:rPr>
        <w:t>Nas mesmas directrices establécese a necesidade de realizar un inventario de refuxios. Diversos estudos científicos indican que para o inventario de refuxios de morcegos debe estudarse unha zona de tampón arredor do PE de ata 10 km.</w:t>
      </w:r>
    </w:p>
    <w:p w14:paraId="24763423" w14:textId="77777777" w:rsidR="00AE5A25" w:rsidRPr="00952B26" w:rsidRDefault="00AE5A25" w:rsidP="00AE5A25">
      <w:pPr>
        <w:spacing w:before="120" w:after="0" w:line="240" w:lineRule="auto"/>
        <w:jc w:val="both"/>
        <w:rPr>
          <w:sz w:val="24"/>
          <w:szCs w:val="24"/>
        </w:rPr>
      </w:pPr>
      <w:r w:rsidRPr="00952B26">
        <w:rPr>
          <w:sz w:val="24"/>
          <w:szCs w:val="24"/>
        </w:rPr>
        <w:t>En España, todas as especies de morcegos están incluidas no Listado de Especies Silvestres en Réxime de Protección Especiel (LESPRE) así como no Anexo II e IV da Directiva Hábitats (Directiva 92/43/CEE) e polo convenio de Bonn (BOE do 29 de outubro de 1985).</w:t>
      </w:r>
    </w:p>
    <w:p w14:paraId="65BAEC4B" w14:textId="77777777" w:rsidR="00AE5A25" w:rsidRPr="00952B26" w:rsidRDefault="00AE5A25" w:rsidP="00AE5A25">
      <w:pPr>
        <w:spacing w:before="120" w:after="0" w:line="240" w:lineRule="auto"/>
        <w:jc w:val="both"/>
        <w:rPr>
          <w:rFonts w:cs="Calibri"/>
          <w:bCs/>
          <w:kern w:val="36"/>
          <w:sz w:val="24"/>
          <w:szCs w:val="24"/>
          <w:lang w:eastAsia="es-ES"/>
        </w:rPr>
      </w:pPr>
      <w:r w:rsidRPr="00952B26">
        <w:rPr>
          <w:sz w:val="24"/>
          <w:szCs w:val="24"/>
        </w:rPr>
        <w:t xml:space="preserve">A mortalidade producida polos PEs sobre os morcegos é maior que sobre as aves, afectando particularmente a especies migratorias pero tamén a especies comúns, nalgún caso chegouse a detectar unha maior mortalidade en especies migratorias que se pousan nas árboles en certas épocas do ano. A mortalidade dos morcegos é preocupante debido a que teñen unha baixa taxa de reproducción e requiren unha alta supervivencia dos adultos. Estudos en instalacións de enerxía eólica suxiren que a proximidade a zonas de hibernación, barrancos e humedais inflúen na mortalidade. As turbinas eólicas poden afectar negativamente aos morcegos, poñendo en perigo as poboacións de morcegos e limitar os beneficios económicos destas especies (por exemplo, controlar as plagas agrícolas). </w:t>
      </w:r>
      <w:r w:rsidRPr="00952B26">
        <w:rPr>
          <w:rFonts w:cs="Calibri"/>
          <w:bCs/>
          <w:kern w:val="36"/>
          <w:sz w:val="24"/>
          <w:szCs w:val="24"/>
          <w:lang w:eastAsia="es-ES"/>
        </w:rPr>
        <w:t xml:space="preserve">Non se elaborou un </w:t>
      </w:r>
      <w:r w:rsidRPr="00952B26">
        <w:rPr>
          <w:rFonts w:cs="Calibri"/>
          <w:b/>
          <w:bCs/>
          <w:kern w:val="36"/>
          <w:sz w:val="24"/>
          <w:szCs w:val="24"/>
          <w:lang w:eastAsia="es-ES"/>
        </w:rPr>
        <w:t>mapa cartográfico de riscos</w:t>
      </w:r>
      <w:r w:rsidRPr="00952B26">
        <w:rPr>
          <w:rFonts w:cs="Calibri"/>
          <w:bCs/>
          <w:kern w:val="36"/>
          <w:sz w:val="24"/>
          <w:szCs w:val="24"/>
          <w:lang w:eastAsia="es-ES"/>
        </w:rPr>
        <w:t xml:space="preserve"> de colisión con morcegos.</w:t>
      </w:r>
    </w:p>
    <w:p w14:paraId="4F07E152" w14:textId="77777777" w:rsidR="00AE5A25" w:rsidRPr="00952B26" w:rsidRDefault="00AE5A25" w:rsidP="00AE5A25">
      <w:pPr>
        <w:spacing w:before="120" w:after="0" w:line="240" w:lineRule="auto"/>
        <w:jc w:val="both"/>
        <w:rPr>
          <w:sz w:val="24"/>
          <w:szCs w:val="24"/>
        </w:rPr>
      </w:pPr>
      <w:r w:rsidRPr="00952B26">
        <w:rPr>
          <w:sz w:val="24"/>
          <w:szCs w:val="24"/>
        </w:rPr>
        <w:t>A maioría dos estudos realizados sobre os impactos dos aeroxeradores sobre os morcegos e mesmo sobre as aves realizáronse con turbinas de pequena altura, porén diversos estudos científicos atoparon que as turbinas máis altas matan máis morcegos e aves, polo que ante a falta de datos científicos acerca dos efectos das modernas turbinas debería intensificarse o estudo do seu impacto ambiental e aplicar o principio de cautela á hora de decidir a súa instalación.</w:t>
      </w:r>
    </w:p>
    <w:p w14:paraId="7C5BEC17" w14:textId="77777777" w:rsidR="00AE5A25" w:rsidRPr="00952B26" w:rsidRDefault="00AE5A25" w:rsidP="00AE5A25">
      <w:pPr>
        <w:spacing w:before="120" w:after="0" w:line="240" w:lineRule="auto"/>
        <w:jc w:val="both"/>
        <w:rPr>
          <w:sz w:val="24"/>
          <w:szCs w:val="24"/>
        </w:rPr>
      </w:pPr>
      <w:r w:rsidRPr="00952B26">
        <w:rPr>
          <w:sz w:val="24"/>
          <w:szCs w:val="24"/>
        </w:rPr>
        <w:t>En España, algúnhas investigación sitúan as mortes de morcegos entre entre 0,00 e 0,80 morcegos / MW por ano, pero a maioría dos estudos non corrixiron a eliminación de carroñeiros e os rumbos de procura de datos polo que se considera unha subestiamción das mortes reais. En Portugal, as taxas anuais de mortalidade oscilaron entre 0,07 e 11,0 / MW (L. Rodrigues, Instituto dá Conservação dá Natureza e dás Forestas, datos non publicados). Xeralmente, os datos de Europa son recompilados de maneira inconsistente, o que fai difícil a comparación entre países. Con todo, está claro que os morcegos morren con frecuencia nas turbinas eólicas en todo o continente (de 0 a 79,2 mor</w:t>
      </w:r>
      <w:r>
        <w:rPr>
          <w:sz w:val="24"/>
          <w:szCs w:val="24"/>
        </w:rPr>
        <w:t>c</w:t>
      </w:r>
      <w:r w:rsidRPr="00952B26">
        <w:rPr>
          <w:sz w:val="24"/>
          <w:szCs w:val="24"/>
        </w:rPr>
        <w:t>egos mortos por turbina e ano no sur de Europa), con algunhas instalacións experimentando considerablemente taxas de mortalidade máis altas en relación con outras.</w:t>
      </w:r>
    </w:p>
    <w:p w14:paraId="6D7D1E5F" w14:textId="77777777" w:rsidR="00AE5A25" w:rsidRPr="00952B26" w:rsidRDefault="00AE5A25" w:rsidP="00AE5A25">
      <w:pPr>
        <w:spacing w:before="120" w:after="0" w:line="240" w:lineRule="auto"/>
        <w:jc w:val="both"/>
        <w:rPr>
          <w:sz w:val="24"/>
          <w:szCs w:val="24"/>
        </w:rPr>
      </w:pPr>
      <w:r w:rsidRPr="00952B26">
        <w:rPr>
          <w:sz w:val="24"/>
          <w:szCs w:val="24"/>
        </w:rPr>
        <w:lastRenderedPageBreak/>
        <w:t xml:space="preserve">A análise de vítimas mortais reportadas en España e Portugal, onde a maioría das instalacións eólicas se atópan na cima de outeiros e montañas, suxiren que o máis importante predictor ambiental da taxa de mortalidade é a proximidade a pendentes pronunciadas con rocha espida e sen vexetación, tal e como sucede no PE </w:t>
      </w:r>
      <w:r>
        <w:rPr>
          <w:sz w:val="24"/>
          <w:szCs w:val="24"/>
        </w:rPr>
        <w:t>Torroña I</w:t>
      </w:r>
      <w:r w:rsidRPr="00952B26">
        <w:rPr>
          <w:sz w:val="24"/>
          <w:szCs w:val="24"/>
        </w:rPr>
        <w:t>. A rocha espida é quentada polo sol e irradia calor durante o noite, o que probablemente facilita a actividade dos insectos sobre as rochas, posiblemente explicando unha maior mortalidade en sitios próximos a pendentes con forte pendente e rochosas. Alternativamente, as rochas nas cimas de outeiros e montañas poden proporcionar refuxios adecuados para os morcegos o que incrementa os riscos de aproximación destes organismos ós aeroxeradores.</w:t>
      </w:r>
    </w:p>
    <w:p w14:paraId="740311A1" w14:textId="77777777" w:rsidR="00AE5A25" w:rsidRPr="00952B26" w:rsidRDefault="00AE5A25" w:rsidP="00AE5A25">
      <w:pPr>
        <w:spacing w:before="120" w:after="0" w:line="240" w:lineRule="auto"/>
        <w:jc w:val="both"/>
        <w:rPr>
          <w:rFonts w:cs="Calibri"/>
          <w:bCs/>
          <w:kern w:val="36"/>
          <w:sz w:val="24"/>
          <w:szCs w:val="24"/>
          <w:lang w:eastAsia="es-ES"/>
        </w:rPr>
      </w:pPr>
      <w:r w:rsidRPr="00952B26">
        <w:rPr>
          <w:rFonts w:cs="Calibri"/>
          <w:bCs/>
          <w:kern w:val="36"/>
          <w:sz w:val="24"/>
          <w:szCs w:val="24"/>
          <w:lang w:eastAsia="es-ES"/>
        </w:rPr>
        <w:t xml:space="preserve">A enerxía eólica evita moitos impactos ambientais das fontes de enerxía non renovables; porén, os impactos adversos da enerxía eólica na vida silvestre, incluidas as colisiones de morcegos con </w:t>
      </w:r>
      <w:r w:rsidRPr="00952B26">
        <w:rPr>
          <w:sz w:val="24"/>
          <w:szCs w:val="24"/>
        </w:rPr>
        <w:t>turbinas</w:t>
      </w:r>
      <w:r w:rsidRPr="00952B26">
        <w:rPr>
          <w:rFonts w:cs="Calibri"/>
          <w:bCs/>
          <w:kern w:val="36"/>
          <w:sz w:val="24"/>
          <w:szCs w:val="24"/>
          <w:lang w:eastAsia="es-ES"/>
        </w:rPr>
        <w:t xml:space="preserve"> eólicas, seguen sendo un problema de conservación importante. As poboacións de moitas especies de morcegos están experimentando diminucións a longo prazo debido a numerosos impactos antropoxénicos, e a mortalidade de morcegos nas turbinas plantea preocupacións adicionais debido á rápida expansión da enerxía eólica, especialmente en Galicia. Ademáis, as turbinas estanse volvendo máis grandes para permitir unha xeración de enerxía eólica máis eficiente e a velocidades de vento máis baixas. Precisarase unha investigación continua para documentar as correlacións da mortalidade e os impactos nas poboacións de morcegos a medida que evoluciona a industria da enerxía eólica, mentres tanto deberíase aplicar o principio de cautela.</w:t>
      </w:r>
    </w:p>
    <w:p w14:paraId="34C835B7" w14:textId="77777777" w:rsidR="00AE5A25" w:rsidRPr="00952B26" w:rsidRDefault="00AE5A25" w:rsidP="00AE5A25">
      <w:pPr>
        <w:spacing w:before="120" w:after="0" w:line="240" w:lineRule="auto"/>
        <w:jc w:val="both"/>
        <w:rPr>
          <w:rFonts w:cs="Calibri"/>
          <w:bCs/>
          <w:kern w:val="36"/>
          <w:sz w:val="24"/>
          <w:szCs w:val="24"/>
          <w:lang w:eastAsia="es-ES"/>
        </w:rPr>
      </w:pPr>
      <w:r w:rsidRPr="00952B26">
        <w:rPr>
          <w:rFonts w:cs="Calibri"/>
          <w:bCs/>
          <w:kern w:val="36"/>
          <w:sz w:val="24"/>
          <w:szCs w:val="24"/>
          <w:lang w:eastAsia="es-ES"/>
        </w:rPr>
        <w:t>Tal e como se recolle na seguinte táboa, son moitos os tipos de repercusións nos morcegos durante o ciclo de vida dun PE, porén, non foron avaliados convintemente no EsIA.</w:t>
      </w:r>
    </w:p>
    <w:p w14:paraId="7FC17A6E" w14:textId="77777777" w:rsidR="00AE5A25" w:rsidRPr="00952B26" w:rsidRDefault="00AE5A25" w:rsidP="00AE5A25">
      <w:pPr>
        <w:spacing w:before="120" w:after="0" w:line="240" w:lineRule="auto"/>
        <w:ind w:left="284"/>
        <w:jc w:val="both"/>
        <w:rPr>
          <w:rFonts w:cs="Calibri"/>
          <w:bCs/>
          <w:kern w:val="36"/>
          <w:sz w:val="24"/>
          <w:szCs w:val="24"/>
          <w:lang w:eastAsia="es-ES"/>
        </w:rPr>
      </w:pPr>
    </w:p>
    <w:tbl>
      <w:tblPr>
        <w:tblW w:w="0" w:type="auto"/>
        <w:tblInd w:w="137" w:type="dxa"/>
        <w:tblBorders>
          <w:top w:val="single" w:sz="4" w:space="0" w:color="984806"/>
          <w:left w:val="single" w:sz="4" w:space="0" w:color="984806"/>
          <w:bottom w:val="single" w:sz="4" w:space="0" w:color="984806"/>
          <w:right w:val="single" w:sz="4" w:space="0" w:color="984806"/>
        </w:tblBorders>
        <w:tblLook w:val="00A0" w:firstRow="1" w:lastRow="0" w:firstColumn="1" w:lastColumn="0" w:noHBand="0" w:noVBand="0"/>
      </w:tblPr>
      <w:tblGrid>
        <w:gridCol w:w="4698"/>
        <w:gridCol w:w="1013"/>
        <w:gridCol w:w="643"/>
        <w:gridCol w:w="698"/>
        <w:gridCol w:w="698"/>
        <w:gridCol w:w="692"/>
      </w:tblGrid>
      <w:tr w:rsidR="00AE5A25" w:rsidRPr="00952B26" w14:paraId="2FFD0D54" w14:textId="77777777" w:rsidTr="00AE5A25">
        <w:tc>
          <w:tcPr>
            <w:tcW w:w="4698" w:type="dxa"/>
            <w:tcBorders>
              <w:top w:val="single" w:sz="4" w:space="0" w:color="984806"/>
            </w:tcBorders>
            <w:shd w:val="clear" w:color="auto" w:fill="984806"/>
          </w:tcPr>
          <w:p w14:paraId="3C82BCB5" w14:textId="77777777" w:rsidR="00AE5A25" w:rsidRPr="00952B26" w:rsidRDefault="00AE5A25" w:rsidP="00AE5A25">
            <w:pPr>
              <w:spacing w:before="120" w:after="0" w:line="240" w:lineRule="auto"/>
              <w:jc w:val="both"/>
              <w:rPr>
                <w:rFonts w:cs="Calibri"/>
                <w:b/>
                <w:kern w:val="36"/>
                <w:sz w:val="24"/>
                <w:szCs w:val="24"/>
                <w:lang w:eastAsia="es-ES"/>
              </w:rPr>
            </w:pPr>
            <w:r w:rsidRPr="00952B26">
              <w:rPr>
                <w:rFonts w:cs="Calibri"/>
                <w:b/>
                <w:kern w:val="36"/>
                <w:sz w:val="24"/>
                <w:szCs w:val="24"/>
                <w:lang w:eastAsia="es-ES"/>
              </w:rPr>
              <w:t>Tipos de repercusións</w:t>
            </w:r>
          </w:p>
        </w:tc>
        <w:tc>
          <w:tcPr>
            <w:tcW w:w="3744" w:type="dxa"/>
            <w:gridSpan w:val="5"/>
            <w:tcBorders>
              <w:top w:val="single" w:sz="4" w:space="0" w:color="984806"/>
            </w:tcBorders>
            <w:shd w:val="clear" w:color="auto" w:fill="984806"/>
          </w:tcPr>
          <w:p w14:paraId="7E8E310F" w14:textId="77777777" w:rsidR="00AE5A25" w:rsidRPr="00952B26" w:rsidRDefault="00AE5A25" w:rsidP="00AE5A25">
            <w:pPr>
              <w:spacing w:before="120" w:after="0" w:line="240" w:lineRule="auto"/>
              <w:jc w:val="both"/>
              <w:rPr>
                <w:rFonts w:cs="Calibri"/>
                <w:b/>
                <w:kern w:val="36"/>
                <w:sz w:val="24"/>
                <w:szCs w:val="24"/>
                <w:lang w:eastAsia="es-ES"/>
              </w:rPr>
            </w:pPr>
            <w:r w:rsidRPr="00952B26">
              <w:rPr>
                <w:rFonts w:cs="Calibri"/>
                <w:b/>
                <w:kern w:val="36"/>
                <w:sz w:val="24"/>
                <w:szCs w:val="24"/>
                <w:lang w:eastAsia="es-ES"/>
              </w:rPr>
              <w:t>Fase do proxecto</w:t>
            </w:r>
          </w:p>
        </w:tc>
      </w:tr>
      <w:tr w:rsidR="00AE5A25" w:rsidRPr="00952B26" w14:paraId="16A6D46A" w14:textId="77777777" w:rsidTr="00AE5A25">
        <w:trPr>
          <w:cantSplit/>
          <w:trHeight w:val="1692"/>
        </w:trPr>
        <w:tc>
          <w:tcPr>
            <w:tcW w:w="4698" w:type="dxa"/>
            <w:tcBorders>
              <w:bottom w:val="single" w:sz="4" w:space="0" w:color="984806"/>
            </w:tcBorders>
            <w:shd w:val="clear" w:color="auto" w:fill="FBD4B4"/>
          </w:tcPr>
          <w:p w14:paraId="19F5132E" w14:textId="77777777" w:rsidR="00AE5A25" w:rsidRPr="00952B26" w:rsidRDefault="00AE5A25" w:rsidP="00AE5A25">
            <w:pPr>
              <w:spacing w:before="120" w:after="0" w:line="240" w:lineRule="auto"/>
              <w:jc w:val="both"/>
              <w:rPr>
                <w:rFonts w:cs="Calibri"/>
                <w:bCs/>
                <w:kern w:val="36"/>
                <w:sz w:val="24"/>
                <w:szCs w:val="24"/>
                <w:lang w:eastAsia="es-ES"/>
              </w:rPr>
            </w:pPr>
          </w:p>
        </w:tc>
        <w:tc>
          <w:tcPr>
            <w:tcW w:w="1013" w:type="dxa"/>
            <w:tcBorders>
              <w:bottom w:val="single" w:sz="4" w:space="0" w:color="984806"/>
            </w:tcBorders>
            <w:shd w:val="clear" w:color="auto" w:fill="FBD4B4"/>
            <w:textDirection w:val="btLr"/>
          </w:tcPr>
          <w:p w14:paraId="69ED8002" w14:textId="77777777" w:rsidR="00AE5A25" w:rsidRPr="00952B26" w:rsidRDefault="00AE5A25" w:rsidP="00AE5A25">
            <w:pPr>
              <w:spacing w:before="120" w:after="0" w:line="240" w:lineRule="auto"/>
              <w:ind w:left="113" w:right="113"/>
              <w:rPr>
                <w:rFonts w:cs="Calibri"/>
                <w:bCs/>
                <w:kern w:val="36"/>
                <w:sz w:val="24"/>
                <w:szCs w:val="24"/>
                <w:lang w:eastAsia="es-ES"/>
              </w:rPr>
            </w:pPr>
            <w:r w:rsidRPr="00952B26">
              <w:rPr>
                <w:rFonts w:cs="Calibri"/>
                <w:bCs/>
                <w:kern w:val="36"/>
                <w:sz w:val="24"/>
                <w:szCs w:val="24"/>
                <w:lang w:eastAsia="es-ES"/>
              </w:rPr>
              <w:t>Previa á construción</w:t>
            </w:r>
          </w:p>
        </w:tc>
        <w:tc>
          <w:tcPr>
            <w:tcW w:w="643" w:type="dxa"/>
            <w:tcBorders>
              <w:bottom w:val="single" w:sz="4" w:space="0" w:color="984806"/>
            </w:tcBorders>
            <w:shd w:val="clear" w:color="auto" w:fill="FBD4B4"/>
            <w:textDirection w:val="btLr"/>
          </w:tcPr>
          <w:p w14:paraId="5754C4B0" w14:textId="77777777" w:rsidR="00AE5A25" w:rsidRPr="00952B26" w:rsidRDefault="00AE5A25" w:rsidP="00AE5A25">
            <w:pPr>
              <w:spacing w:before="120" w:after="0" w:line="240" w:lineRule="auto"/>
              <w:ind w:left="113" w:right="113"/>
              <w:jc w:val="both"/>
              <w:rPr>
                <w:rFonts w:cs="Calibri"/>
                <w:bCs/>
                <w:kern w:val="36"/>
                <w:sz w:val="24"/>
                <w:szCs w:val="24"/>
                <w:lang w:eastAsia="es-ES"/>
              </w:rPr>
            </w:pPr>
            <w:r w:rsidRPr="00952B26">
              <w:rPr>
                <w:rFonts w:cs="Calibri"/>
                <w:bCs/>
                <w:kern w:val="36"/>
                <w:sz w:val="24"/>
                <w:szCs w:val="24"/>
                <w:lang w:eastAsia="es-ES"/>
              </w:rPr>
              <w:t>Construción</w:t>
            </w:r>
          </w:p>
        </w:tc>
        <w:tc>
          <w:tcPr>
            <w:tcW w:w="698" w:type="dxa"/>
            <w:tcBorders>
              <w:bottom w:val="single" w:sz="4" w:space="0" w:color="984806"/>
            </w:tcBorders>
            <w:shd w:val="clear" w:color="auto" w:fill="FBD4B4"/>
            <w:textDirection w:val="btLr"/>
          </w:tcPr>
          <w:p w14:paraId="6A0A665B" w14:textId="77777777" w:rsidR="00AE5A25" w:rsidRPr="00952B26" w:rsidRDefault="00AE5A25" w:rsidP="00AE5A25">
            <w:pPr>
              <w:spacing w:before="120" w:after="0" w:line="240" w:lineRule="auto"/>
              <w:ind w:left="113" w:right="113"/>
              <w:jc w:val="both"/>
              <w:rPr>
                <w:rFonts w:cs="Calibri"/>
                <w:bCs/>
                <w:kern w:val="36"/>
                <w:sz w:val="24"/>
                <w:szCs w:val="24"/>
                <w:lang w:eastAsia="es-ES"/>
              </w:rPr>
            </w:pPr>
            <w:r w:rsidRPr="00952B26">
              <w:rPr>
                <w:rFonts w:cs="Calibri"/>
                <w:bCs/>
                <w:kern w:val="36"/>
                <w:sz w:val="24"/>
                <w:szCs w:val="24"/>
                <w:lang w:eastAsia="es-ES"/>
              </w:rPr>
              <w:t>Funcionamento</w:t>
            </w:r>
          </w:p>
        </w:tc>
        <w:tc>
          <w:tcPr>
            <w:tcW w:w="698" w:type="dxa"/>
            <w:tcBorders>
              <w:bottom w:val="single" w:sz="4" w:space="0" w:color="984806"/>
            </w:tcBorders>
            <w:shd w:val="clear" w:color="auto" w:fill="FBD4B4"/>
            <w:textDirection w:val="btLr"/>
          </w:tcPr>
          <w:p w14:paraId="2C05A9C5" w14:textId="77777777" w:rsidR="00AE5A25" w:rsidRPr="00952B26" w:rsidRDefault="00AE5A25" w:rsidP="00AE5A25">
            <w:pPr>
              <w:spacing w:before="120" w:after="0" w:line="240" w:lineRule="auto"/>
              <w:ind w:left="113" w:right="113"/>
              <w:jc w:val="both"/>
              <w:rPr>
                <w:rFonts w:cs="Calibri"/>
                <w:bCs/>
                <w:kern w:val="36"/>
                <w:sz w:val="24"/>
                <w:szCs w:val="24"/>
                <w:lang w:eastAsia="es-ES"/>
              </w:rPr>
            </w:pPr>
            <w:r w:rsidRPr="00952B26">
              <w:rPr>
                <w:rFonts w:cs="Calibri"/>
                <w:bCs/>
                <w:kern w:val="36"/>
                <w:sz w:val="24"/>
                <w:szCs w:val="24"/>
                <w:lang w:eastAsia="es-ES"/>
              </w:rPr>
              <w:t>Clausura</w:t>
            </w:r>
          </w:p>
        </w:tc>
        <w:tc>
          <w:tcPr>
            <w:tcW w:w="692" w:type="dxa"/>
            <w:tcBorders>
              <w:bottom w:val="single" w:sz="4" w:space="0" w:color="984806"/>
            </w:tcBorders>
            <w:shd w:val="clear" w:color="auto" w:fill="FBD4B4"/>
            <w:textDirection w:val="btLr"/>
          </w:tcPr>
          <w:p w14:paraId="704EB5F1" w14:textId="77777777" w:rsidR="00AE5A25" w:rsidRPr="00952B26" w:rsidRDefault="00AE5A25" w:rsidP="00AE5A25">
            <w:pPr>
              <w:spacing w:before="120" w:after="0" w:line="240" w:lineRule="auto"/>
              <w:ind w:left="113" w:right="113"/>
              <w:jc w:val="both"/>
              <w:rPr>
                <w:rFonts w:cs="Calibri"/>
                <w:bCs/>
                <w:kern w:val="36"/>
                <w:sz w:val="24"/>
                <w:szCs w:val="24"/>
                <w:lang w:eastAsia="es-ES"/>
              </w:rPr>
            </w:pPr>
            <w:r w:rsidRPr="00952B26">
              <w:rPr>
                <w:rFonts w:cs="Calibri"/>
                <w:bCs/>
                <w:kern w:val="36"/>
                <w:sz w:val="24"/>
                <w:szCs w:val="24"/>
                <w:lang w:eastAsia="es-ES"/>
              </w:rPr>
              <w:t>Repotenciación</w:t>
            </w:r>
          </w:p>
        </w:tc>
      </w:tr>
      <w:tr w:rsidR="00AE5A25" w:rsidRPr="00952B26" w14:paraId="027F8B02" w14:textId="77777777" w:rsidTr="00AE5A25">
        <w:tc>
          <w:tcPr>
            <w:tcW w:w="4698" w:type="dxa"/>
            <w:tcBorders>
              <w:top w:val="single" w:sz="4" w:space="0" w:color="984806"/>
              <w:bottom w:val="single" w:sz="4" w:space="0" w:color="984806"/>
            </w:tcBorders>
          </w:tcPr>
          <w:p w14:paraId="192FB5B6" w14:textId="77777777" w:rsidR="00AE5A25" w:rsidRPr="00952B26" w:rsidRDefault="00AE5A25" w:rsidP="00AE5A25">
            <w:pPr>
              <w:spacing w:before="120" w:after="0" w:line="240" w:lineRule="auto"/>
              <w:jc w:val="both"/>
              <w:rPr>
                <w:rFonts w:cs="Calibri"/>
                <w:bCs/>
                <w:kern w:val="36"/>
                <w:sz w:val="24"/>
                <w:szCs w:val="24"/>
                <w:lang w:eastAsia="es-ES"/>
              </w:rPr>
            </w:pPr>
            <w:r w:rsidRPr="00952B26">
              <w:rPr>
                <w:rFonts w:cs="Calibri"/>
                <w:bCs/>
                <w:kern w:val="36"/>
                <w:sz w:val="24"/>
                <w:szCs w:val="24"/>
                <w:lang w:eastAsia="es-ES"/>
              </w:rPr>
              <w:t>Perda e degradación do hábitat (*NA)</w:t>
            </w:r>
          </w:p>
        </w:tc>
        <w:tc>
          <w:tcPr>
            <w:tcW w:w="1013" w:type="dxa"/>
            <w:tcBorders>
              <w:top w:val="single" w:sz="4" w:space="0" w:color="984806"/>
              <w:bottom w:val="single" w:sz="4" w:space="0" w:color="984806"/>
            </w:tcBorders>
          </w:tcPr>
          <w:p w14:paraId="565ABA5E"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43" w:type="dxa"/>
            <w:tcBorders>
              <w:top w:val="single" w:sz="4" w:space="0" w:color="984806"/>
              <w:bottom w:val="single" w:sz="4" w:space="0" w:color="984806"/>
            </w:tcBorders>
          </w:tcPr>
          <w:p w14:paraId="71AC8B47"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8" w:type="dxa"/>
            <w:tcBorders>
              <w:top w:val="single" w:sz="4" w:space="0" w:color="984806"/>
              <w:bottom w:val="single" w:sz="4" w:space="0" w:color="984806"/>
            </w:tcBorders>
          </w:tcPr>
          <w:p w14:paraId="0368088D"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8" w:type="dxa"/>
            <w:tcBorders>
              <w:top w:val="single" w:sz="4" w:space="0" w:color="984806"/>
              <w:bottom w:val="single" w:sz="4" w:space="0" w:color="984806"/>
            </w:tcBorders>
          </w:tcPr>
          <w:p w14:paraId="491CAFF6"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2" w:type="dxa"/>
            <w:tcBorders>
              <w:top w:val="single" w:sz="4" w:space="0" w:color="984806"/>
              <w:bottom w:val="single" w:sz="4" w:space="0" w:color="984806"/>
            </w:tcBorders>
          </w:tcPr>
          <w:p w14:paraId="6C9746AF"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r>
      <w:tr w:rsidR="00AE5A25" w:rsidRPr="00952B26" w14:paraId="05822654" w14:textId="77777777" w:rsidTr="00AE5A25">
        <w:tc>
          <w:tcPr>
            <w:tcW w:w="4698" w:type="dxa"/>
            <w:tcBorders>
              <w:top w:val="single" w:sz="4" w:space="0" w:color="984806"/>
              <w:bottom w:val="single" w:sz="4" w:space="0" w:color="984806"/>
            </w:tcBorders>
          </w:tcPr>
          <w:p w14:paraId="720480B3" w14:textId="77777777" w:rsidR="00AE5A25" w:rsidRPr="00952B26" w:rsidRDefault="00AE5A25" w:rsidP="00AE5A25">
            <w:pPr>
              <w:spacing w:before="120" w:after="0" w:line="240" w:lineRule="auto"/>
              <w:jc w:val="both"/>
              <w:rPr>
                <w:rFonts w:cs="Calibri"/>
                <w:bCs/>
                <w:kern w:val="36"/>
                <w:sz w:val="24"/>
                <w:szCs w:val="24"/>
                <w:lang w:eastAsia="es-ES"/>
              </w:rPr>
            </w:pPr>
            <w:r w:rsidRPr="00952B26">
              <w:rPr>
                <w:rFonts w:cs="Calibri"/>
                <w:bCs/>
                <w:kern w:val="36"/>
                <w:sz w:val="24"/>
                <w:szCs w:val="24"/>
                <w:lang w:eastAsia="es-ES"/>
              </w:rPr>
              <w:t>Perturbación e desplazamento nos lugares de descanso (*NA)</w:t>
            </w:r>
          </w:p>
        </w:tc>
        <w:tc>
          <w:tcPr>
            <w:tcW w:w="1013" w:type="dxa"/>
            <w:tcBorders>
              <w:top w:val="single" w:sz="4" w:space="0" w:color="984806"/>
              <w:bottom w:val="single" w:sz="4" w:space="0" w:color="984806"/>
            </w:tcBorders>
          </w:tcPr>
          <w:p w14:paraId="31CA3CFB"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43" w:type="dxa"/>
            <w:tcBorders>
              <w:top w:val="single" w:sz="4" w:space="0" w:color="984806"/>
              <w:bottom w:val="single" w:sz="4" w:space="0" w:color="984806"/>
            </w:tcBorders>
          </w:tcPr>
          <w:p w14:paraId="36922D72"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8" w:type="dxa"/>
            <w:tcBorders>
              <w:top w:val="single" w:sz="4" w:space="0" w:color="984806"/>
              <w:bottom w:val="single" w:sz="4" w:space="0" w:color="984806"/>
            </w:tcBorders>
          </w:tcPr>
          <w:p w14:paraId="20E63419"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8" w:type="dxa"/>
            <w:tcBorders>
              <w:top w:val="single" w:sz="4" w:space="0" w:color="984806"/>
              <w:bottom w:val="single" w:sz="4" w:space="0" w:color="984806"/>
            </w:tcBorders>
          </w:tcPr>
          <w:p w14:paraId="3A697A13"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2" w:type="dxa"/>
            <w:tcBorders>
              <w:top w:val="single" w:sz="4" w:space="0" w:color="984806"/>
              <w:bottom w:val="single" w:sz="4" w:space="0" w:color="984806"/>
            </w:tcBorders>
          </w:tcPr>
          <w:p w14:paraId="7B7D0051"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r>
      <w:tr w:rsidR="00AE5A25" w:rsidRPr="00952B26" w14:paraId="0AF79419" w14:textId="77777777" w:rsidTr="00AE5A25">
        <w:tc>
          <w:tcPr>
            <w:tcW w:w="4698" w:type="dxa"/>
            <w:tcBorders>
              <w:top w:val="single" w:sz="4" w:space="0" w:color="984806"/>
              <w:bottom w:val="single" w:sz="4" w:space="0" w:color="984806"/>
            </w:tcBorders>
          </w:tcPr>
          <w:p w14:paraId="6D052494" w14:textId="77777777" w:rsidR="00AE5A25" w:rsidRPr="00952B26" w:rsidRDefault="00AE5A25" w:rsidP="00AE5A25">
            <w:pPr>
              <w:spacing w:before="120" w:after="0" w:line="240" w:lineRule="auto"/>
              <w:jc w:val="both"/>
              <w:rPr>
                <w:rFonts w:cs="Calibri"/>
                <w:bCs/>
                <w:kern w:val="36"/>
                <w:sz w:val="24"/>
                <w:szCs w:val="24"/>
                <w:lang w:eastAsia="es-ES"/>
              </w:rPr>
            </w:pPr>
            <w:r w:rsidRPr="00952B26">
              <w:rPr>
                <w:rFonts w:cs="Calibri"/>
                <w:bCs/>
                <w:kern w:val="36"/>
                <w:sz w:val="24"/>
                <w:szCs w:val="24"/>
                <w:lang w:eastAsia="es-ES"/>
              </w:rPr>
              <w:t>Fragmentación do hábitat (*NA)</w:t>
            </w:r>
          </w:p>
        </w:tc>
        <w:tc>
          <w:tcPr>
            <w:tcW w:w="1013" w:type="dxa"/>
            <w:tcBorders>
              <w:top w:val="single" w:sz="4" w:space="0" w:color="984806"/>
              <w:bottom w:val="single" w:sz="4" w:space="0" w:color="984806"/>
            </w:tcBorders>
          </w:tcPr>
          <w:p w14:paraId="79592737" w14:textId="77777777" w:rsidR="00AE5A25" w:rsidRPr="00952B26" w:rsidRDefault="00AE5A25" w:rsidP="00AE5A25">
            <w:pPr>
              <w:spacing w:before="120" w:after="0" w:line="240" w:lineRule="auto"/>
              <w:jc w:val="center"/>
              <w:rPr>
                <w:rFonts w:cs="Calibri"/>
                <w:bCs/>
                <w:kern w:val="36"/>
                <w:sz w:val="24"/>
                <w:szCs w:val="24"/>
                <w:lang w:eastAsia="es-ES"/>
              </w:rPr>
            </w:pPr>
          </w:p>
        </w:tc>
        <w:tc>
          <w:tcPr>
            <w:tcW w:w="643" w:type="dxa"/>
            <w:tcBorders>
              <w:top w:val="single" w:sz="4" w:space="0" w:color="984806"/>
              <w:bottom w:val="single" w:sz="4" w:space="0" w:color="984806"/>
            </w:tcBorders>
          </w:tcPr>
          <w:p w14:paraId="6C4266EF"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8" w:type="dxa"/>
            <w:tcBorders>
              <w:top w:val="single" w:sz="4" w:space="0" w:color="984806"/>
              <w:bottom w:val="single" w:sz="4" w:space="0" w:color="984806"/>
            </w:tcBorders>
          </w:tcPr>
          <w:p w14:paraId="4A73C5B3"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8" w:type="dxa"/>
            <w:tcBorders>
              <w:top w:val="single" w:sz="4" w:space="0" w:color="984806"/>
              <w:bottom w:val="single" w:sz="4" w:space="0" w:color="984806"/>
            </w:tcBorders>
          </w:tcPr>
          <w:p w14:paraId="56744D00"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2" w:type="dxa"/>
            <w:tcBorders>
              <w:top w:val="single" w:sz="4" w:space="0" w:color="984806"/>
              <w:bottom w:val="single" w:sz="4" w:space="0" w:color="984806"/>
            </w:tcBorders>
          </w:tcPr>
          <w:p w14:paraId="46BAE532" w14:textId="77777777" w:rsidR="00AE5A25" w:rsidRPr="00952B26" w:rsidRDefault="00AE5A25" w:rsidP="00AE5A25">
            <w:pPr>
              <w:spacing w:before="120" w:after="0" w:line="240" w:lineRule="auto"/>
              <w:jc w:val="center"/>
              <w:rPr>
                <w:rFonts w:cs="Calibri"/>
                <w:bCs/>
                <w:kern w:val="36"/>
                <w:sz w:val="24"/>
                <w:szCs w:val="24"/>
                <w:lang w:eastAsia="es-ES"/>
              </w:rPr>
            </w:pPr>
          </w:p>
        </w:tc>
      </w:tr>
      <w:tr w:rsidR="00AE5A25" w:rsidRPr="00952B26" w14:paraId="3215B21C" w14:textId="77777777" w:rsidTr="00AE5A25">
        <w:tc>
          <w:tcPr>
            <w:tcW w:w="4698" w:type="dxa"/>
            <w:tcBorders>
              <w:top w:val="single" w:sz="4" w:space="0" w:color="984806"/>
              <w:bottom w:val="single" w:sz="4" w:space="0" w:color="984806"/>
            </w:tcBorders>
          </w:tcPr>
          <w:p w14:paraId="56F929E5" w14:textId="77777777" w:rsidR="00AE5A25" w:rsidRPr="00952B26" w:rsidRDefault="00AE5A25" w:rsidP="00AE5A25">
            <w:pPr>
              <w:spacing w:before="120" w:after="0" w:line="240" w:lineRule="auto"/>
              <w:jc w:val="both"/>
              <w:rPr>
                <w:rFonts w:cs="Calibri"/>
                <w:bCs/>
                <w:kern w:val="36"/>
                <w:sz w:val="24"/>
                <w:szCs w:val="24"/>
                <w:lang w:eastAsia="es-ES"/>
              </w:rPr>
            </w:pPr>
            <w:r w:rsidRPr="00952B26">
              <w:rPr>
                <w:rFonts w:cs="Calibri"/>
                <w:bCs/>
                <w:kern w:val="36"/>
                <w:sz w:val="24"/>
                <w:szCs w:val="24"/>
                <w:lang w:eastAsia="es-ES"/>
              </w:rPr>
              <w:t>Colisión (*NA)</w:t>
            </w:r>
          </w:p>
        </w:tc>
        <w:tc>
          <w:tcPr>
            <w:tcW w:w="1013" w:type="dxa"/>
            <w:tcBorders>
              <w:top w:val="single" w:sz="4" w:space="0" w:color="984806"/>
              <w:bottom w:val="single" w:sz="4" w:space="0" w:color="984806"/>
            </w:tcBorders>
          </w:tcPr>
          <w:p w14:paraId="2FC9137A" w14:textId="77777777" w:rsidR="00AE5A25" w:rsidRPr="00952B26" w:rsidRDefault="00AE5A25" w:rsidP="00AE5A25">
            <w:pPr>
              <w:spacing w:before="120" w:after="0" w:line="240" w:lineRule="auto"/>
              <w:jc w:val="center"/>
              <w:rPr>
                <w:rFonts w:cs="Calibri"/>
                <w:bCs/>
                <w:kern w:val="36"/>
                <w:sz w:val="24"/>
                <w:szCs w:val="24"/>
                <w:lang w:eastAsia="es-ES"/>
              </w:rPr>
            </w:pPr>
          </w:p>
        </w:tc>
        <w:tc>
          <w:tcPr>
            <w:tcW w:w="643" w:type="dxa"/>
            <w:tcBorders>
              <w:top w:val="single" w:sz="4" w:space="0" w:color="984806"/>
              <w:bottom w:val="single" w:sz="4" w:space="0" w:color="984806"/>
            </w:tcBorders>
          </w:tcPr>
          <w:p w14:paraId="4FFD0EA1" w14:textId="77777777" w:rsidR="00AE5A25" w:rsidRPr="00952B26" w:rsidRDefault="00AE5A25" w:rsidP="00AE5A25">
            <w:pPr>
              <w:spacing w:before="120" w:after="0" w:line="240" w:lineRule="auto"/>
              <w:jc w:val="center"/>
              <w:rPr>
                <w:rFonts w:cs="Calibri"/>
                <w:bCs/>
                <w:kern w:val="36"/>
                <w:sz w:val="24"/>
                <w:szCs w:val="24"/>
                <w:lang w:eastAsia="es-ES"/>
              </w:rPr>
            </w:pPr>
          </w:p>
        </w:tc>
        <w:tc>
          <w:tcPr>
            <w:tcW w:w="698" w:type="dxa"/>
            <w:tcBorders>
              <w:top w:val="single" w:sz="4" w:space="0" w:color="984806"/>
              <w:bottom w:val="single" w:sz="4" w:space="0" w:color="984806"/>
            </w:tcBorders>
          </w:tcPr>
          <w:p w14:paraId="3A271220"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8" w:type="dxa"/>
            <w:tcBorders>
              <w:top w:val="single" w:sz="4" w:space="0" w:color="984806"/>
              <w:bottom w:val="single" w:sz="4" w:space="0" w:color="984806"/>
            </w:tcBorders>
          </w:tcPr>
          <w:p w14:paraId="07EF3516"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2" w:type="dxa"/>
            <w:tcBorders>
              <w:top w:val="single" w:sz="4" w:space="0" w:color="984806"/>
              <w:bottom w:val="single" w:sz="4" w:space="0" w:color="984806"/>
            </w:tcBorders>
          </w:tcPr>
          <w:p w14:paraId="7ED45033" w14:textId="77777777" w:rsidR="00AE5A25" w:rsidRPr="00952B26" w:rsidRDefault="00AE5A25" w:rsidP="00AE5A25">
            <w:pPr>
              <w:spacing w:before="120" w:after="0" w:line="240" w:lineRule="auto"/>
              <w:jc w:val="center"/>
              <w:rPr>
                <w:rFonts w:cs="Calibri"/>
                <w:bCs/>
                <w:kern w:val="36"/>
                <w:sz w:val="24"/>
                <w:szCs w:val="24"/>
                <w:lang w:eastAsia="es-ES"/>
              </w:rPr>
            </w:pPr>
          </w:p>
        </w:tc>
      </w:tr>
      <w:tr w:rsidR="00AE5A25" w:rsidRPr="00952B26" w14:paraId="35D91170" w14:textId="77777777" w:rsidTr="00AE5A25">
        <w:tc>
          <w:tcPr>
            <w:tcW w:w="4698" w:type="dxa"/>
            <w:tcBorders>
              <w:top w:val="single" w:sz="4" w:space="0" w:color="984806"/>
              <w:bottom w:val="single" w:sz="4" w:space="0" w:color="984806"/>
            </w:tcBorders>
          </w:tcPr>
          <w:p w14:paraId="055EA023" w14:textId="77777777" w:rsidR="00AE5A25" w:rsidRPr="00952B26" w:rsidRDefault="00AE5A25" w:rsidP="00AE5A25">
            <w:pPr>
              <w:spacing w:before="120" w:after="0" w:line="240" w:lineRule="auto"/>
              <w:jc w:val="both"/>
              <w:rPr>
                <w:rFonts w:cs="Calibri"/>
                <w:bCs/>
                <w:kern w:val="36"/>
                <w:sz w:val="24"/>
                <w:szCs w:val="24"/>
                <w:lang w:eastAsia="es-ES"/>
              </w:rPr>
            </w:pPr>
            <w:r w:rsidRPr="00952B26">
              <w:rPr>
                <w:rFonts w:cs="Calibri"/>
                <w:bCs/>
                <w:kern w:val="36"/>
                <w:sz w:val="24"/>
                <w:szCs w:val="24"/>
                <w:lang w:eastAsia="es-ES"/>
              </w:rPr>
              <w:t>Efecto barraira (*NA)</w:t>
            </w:r>
          </w:p>
        </w:tc>
        <w:tc>
          <w:tcPr>
            <w:tcW w:w="1013" w:type="dxa"/>
            <w:tcBorders>
              <w:top w:val="single" w:sz="4" w:space="0" w:color="984806"/>
              <w:bottom w:val="single" w:sz="4" w:space="0" w:color="984806"/>
            </w:tcBorders>
          </w:tcPr>
          <w:p w14:paraId="1A320887" w14:textId="77777777" w:rsidR="00AE5A25" w:rsidRPr="00952B26" w:rsidRDefault="00AE5A25" w:rsidP="00AE5A25">
            <w:pPr>
              <w:spacing w:before="120" w:after="0" w:line="240" w:lineRule="auto"/>
              <w:jc w:val="center"/>
              <w:rPr>
                <w:rFonts w:cs="Calibri"/>
                <w:bCs/>
                <w:kern w:val="36"/>
                <w:sz w:val="24"/>
                <w:szCs w:val="24"/>
                <w:lang w:eastAsia="es-ES"/>
              </w:rPr>
            </w:pPr>
          </w:p>
        </w:tc>
        <w:tc>
          <w:tcPr>
            <w:tcW w:w="643" w:type="dxa"/>
            <w:tcBorders>
              <w:top w:val="single" w:sz="4" w:space="0" w:color="984806"/>
              <w:bottom w:val="single" w:sz="4" w:space="0" w:color="984806"/>
            </w:tcBorders>
          </w:tcPr>
          <w:p w14:paraId="0C7DE429" w14:textId="77777777" w:rsidR="00AE5A25" w:rsidRPr="00952B26" w:rsidRDefault="00AE5A25" w:rsidP="00AE5A25">
            <w:pPr>
              <w:spacing w:before="120" w:after="0" w:line="240" w:lineRule="auto"/>
              <w:jc w:val="center"/>
              <w:rPr>
                <w:rFonts w:cs="Calibri"/>
                <w:bCs/>
                <w:kern w:val="36"/>
                <w:sz w:val="24"/>
                <w:szCs w:val="24"/>
                <w:lang w:eastAsia="es-ES"/>
              </w:rPr>
            </w:pPr>
          </w:p>
        </w:tc>
        <w:tc>
          <w:tcPr>
            <w:tcW w:w="698" w:type="dxa"/>
            <w:tcBorders>
              <w:top w:val="single" w:sz="4" w:space="0" w:color="984806"/>
              <w:bottom w:val="single" w:sz="4" w:space="0" w:color="984806"/>
            </w:tcBorders>
          </w:tcPr>
          <w:p w14:paraId="54A6A673"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8" w:type="dxa"/>
            <w:tcBorders>
              <w:top w:val="single" w:sz="4" w:space="0" w:color="984806"/>
              <w:bottom w:val="single" w:sz="4" w:space="0" w:color="984806"/>
            </w:tcBorders>
          </w:tcPr>
          <w:p w14:paraId="184C7467"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2" w:type="dxa"/>
            <w:tcBorders>
              <w:top w:val="single" w:sz="4" w:space="0" w:color="984806"/>
              <w:bottom w:val="single" w:sz="4" w:space="0" w:color="984806"/>
            </w:tcBorders>
          </w:tcPr>
          <w:p w14:paraId="481A591A" w14:textId="77777777" w:rsidR="00AE5A25" w:rsidRPr="00952B26" w:rsidRDefault="00AE5A25" w:rsidP="00AE5A25">
            <w:pPr>
              <w:spacing w:before="120" w:after="0" w:line="240" w:lineRule="auto"/>
              <w:jc w:val="center"/>
              <w:rPr>
                <w:rFonts w:cs="Calibri"/>
                <w:bCs/>
                <w:kern w:val="36"/>
                <w:sz w:val="24"/>
                <w:szCs w:val="24"/>
                <w:lang w:eastAsia="es-ES"/>
              </w:rPr>
            </w:pPr>
          </w:p>
        </w:tc>
      </w:tr>
      <w:tr w:rsidR="00AE5A25" w:rsidRPr="00952B26" w14:paraId="732DB350" w14:textId="77777777" w:rsidTr="00AE5A25">
        <w:tc>
          <w:tcPr>
            <w:tcW w:w="4698" w:type="dxa"/>
            <w:tcBorders>
              <w:top w:val="single" w:sz="4" w:space="0" w:color="984806"/>
              <w:bottom w:val="single" w:sz="4" w:space="0" w:color="984806"/>
            </w:tcBorders>
          </w:tcPr>
          <w:p w14:paraId="637ECB1B" w14:textId="77777777" w:rsidR="00AE5A25" w:rsidRPr="00952B26" w:rsidRDefault="00AE5A25" w:rsidP="00AE5A25">
            <w:pPr>
              <w:spacing w:before="120" w:after="0" w:line="240" w:lineRule="auto"/>
              <w:jc w:val="both"/>
              <w:rPr>
                <w:rFonts w:cs="Calibri"/>
                <w:bCs/>
                <w:kern w:val="36"/>
                <w:sz w:val="24"/>
                <w:szCs w:val="24"/>
                <w:lang w:eastAsia="es-ES"/>
              </w:rPr>
            </w:pPr>
            <w:r w:rsidRPr="00952B26">
              <w:rPr>
                <w:rFonts w:cs="Calibri"/>
                <w:bCs/>
                <w:kern w:val="36"/>
                <w:sz w:val="24"/>
                <w:szCs w:val="24"/>
                <w:lang w:eastAsia="es-ES"/>
              </w:rPr>
              <w:t>Barotraumatismo (*NA)</w:t>
            </w:r>
          </w:p>
        </w:tc>
        <w:tc>
          <w:tcPr>
            <w:tcW w:w="1013" w:type="dxa"/>
            <w:tcBorders>
              <w:top w:val="single" w:sz="4" w:space="0" w:color="984806"/>
              <w:bottom w:val="single" w:sz="4" w:space="0" w:color="984806"/>
            </w:tcBorders>
          </w:tcPr>
          <w:p w14:paraId="1242A759" w14:textId="77777777" w:rsidR="00AE5A25" w:rsidRPr="00952B26" w:rsidRDefault="00AE5A25" w:rsidP="00AE5A25">
            <w:pPr>
              <w:spacing w:before="120" w:after="0" w:line="240" w:lineRule="auto"/>
              <w:jc w:val="center"/>
              <w:rPr>
                <w:rFonts w:cs="Calibri"/>
                <w:bCs/>
                <w:kern w:val="36"/>
                <w:sz w:val="24"/>
                <w:szCs w:val="24"/>
                <w:lang w:eastAsia="es-ES"/>
              </w:rPr>
            </w:pPr>
          </w:p>
        </w:tc>
        <w:tc>
          <w:tcPr>
            <w:tcW w:w="643" w:type="dxa"/>
            <w:tcBorders>
              <w:top w:val="single" w:sz="4" w:space="0" w:color="984806"/>
              <w:bottom w:val="single" w:sz="4" w:space="0" w:color="984806"/>
            </w:tcBorders>
          </w:tcPr>
          <w:p w14:paraId="221AC153" w14:textId="77777777" w:rsidR="00AE5A25" w:rsidRPr="00952B26" w:rsidRDefault="00AE5A25" w:rsidP="00AE5A25">
            <w:pPr>
              <w:spacing w:before="120" w:after="0" w:line="240" w:lineRule="auto"/>
              <w:jc w:val="center"/>
              <w:rPr>
                <w:rFonts w:cs="Calibri"/>
                <w:bCs/>
                <w:kern w:val="36"/>
                <w:sz w:val="24"/>
                <w:szCs w:val="24"/>
                <w:lang w:eastAsia="es-ES"/>
              </w:rPr>
            </w:pPr>
          </w:p>
        </w:tc>
        <w:tc>
          <w:tcPr>
            <w:tcW w:w="698" w:type="dxa"/>
            <w:tcBorders>
              <w:top w:val="single" w:sz="4" w:space="0" w:color="984806"/>
              <w:bottom w:val="single" w:sz="4" w:space="0" w:color="984806"/>
            </w:tcBorders>
          </w:tcPr>
          <w:p w14:paraId="77774545"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8" w:type="dxa"/>
            <w:tcBorders>
              <w:top w:val="single" w:sz="4" w:space="0" w:color="984806"/>
              <w:bottom w:val="single" w:sz="4" w:space="0" w:color="984806"/>
            </w:tcBorders>
          </w:tcPr>
          <w:p w14:paraId="35A96A25"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2" w:type="dxa"/>
            <w:tcBorders>
              <w:top w:val="single" w:sz="4" w:space="0" w:color="984806"/>
              <w:bottom w:val="single" w:sz="4" w:space="0" w:color="984806"/>
            </w:tcBorders>
          </w:tcPr>
          <w:p w14:paraId="3F59CD81" w14:textId="77777777" w:rsidR="00AE5A25" w:rsidRPr="00952B26" w:rsidRDefault="00AE5A25" w:rsidP="00AE5A25">
            <w:pPr>
              <w:spacing w:before="120" w:after="0" w:line="240" w:lineRule="auto"/>
              <w:jc w:val="center"/>
              <w:rPr>
                <w:rFonts w:cs="Calibri"/>
                <w:bCs/>
                <w:kern w:val="36"/>
                <w:sz w:val="24"/>
                <w:szCs w:val="24"/>
                <w:lang w:eastAsia="es-ES"/>
              </w:rPr>
            </w:pPr>
          </w:p>
        </w:tc>
      </w:tr>
      <w:tr w:rsidR="00AE5A25" w:rsidRPr="00952B26" w14:paraId="4C537129" w14:textId="77777777" w:rsidTr="00AE5A25">
        <w:tc>
          <w:tcPr>
            <w:tcW w:w="4698" w:type="dxa"/>
            <w:tcBorders>
              <w:top w:val="single" w:sz="4" w:space="0" w:color="984806"/>
              <w:bottom w:val="single" w:sz="4" w:space="0" w:color="984806"/>
            </w:tcBorders>
          </w:tcPr>
          <w:p w14:paraId="3B450204" w14:textId="77777777" w:rsidR="00AE5A25" w:rsidRPr="00952B26" w:rsidRDefault="00AE5A25" w:rsidP="00AE5A25">
            <w:pPr>
              <w:spacing w:before="120" w:after="0" w:line="240" w:lineRule="auto"/>
              <w:jc w:val="both"/>
              <w:rPr>
                <w:rFonts w:cs="Calibri"/>
                <w:bCs/>
                <w:kern w:val="36"/>
                <w:sz w:val="24"/>
                <w:szCs w:val="24"/>
                <w:lang w:eastAsia="es-ES"/>
              </w:rPr>
            </w:pPr>
            <w:r w:rsidRPr="00952B26">
              <w:rPr>
                <w:rFonts w:cs="Calibri"/>
                <w:bCs/>
                <w:kern w:val="36"/>
                <w:sz w:val="24"/>
                <w:szCs w:val="24"/>
                <w:lang w:eastAsia="es-ES"/>
              </w:rPr>
              <w:t>Perda ou desprazamaento de corredores de voo e lugares de descanso (*NA)</w:t>
            </w:r>
          </w:p>
        </w:tc>
        <w:tc>
          <w:tcPr>
            <w:tcW w:w="1013" w:type="dxa"/>
            <w:tcBorders>
              <w:top w:val="single" w:sz="4" w:space="0" w:color="984806"/>
              <w:bottom w:val="single" w:sz="4" w:space="0" w:color="984806"/>
            </w:tcBorders>
          </w:tcPr>
          <w:p w14:paraId="616B3A54" w14:textId="77777777" w:rsidR="00AE5A25" w:rsidRPr="00952B26" w:rsidRDefault="00AE5A25" w:rsidP="00AE5A25">
            <w:pPr>
              <w:spacing w:before="120" w:after="0" w:line="240" w:lineRule="auto"/>
              <w:jc w:val="center"/>
              <w:rPr>
                <w:rFonts w:cs="Calibri"/>
                <w:bCs/>
                <w:kern w:val="36"/>
                <w:sz w:val="24"/>
                <w:szCs w:val="24"/>
                <w:lang w:eastAsia="es-ES"/>
              </w:rPr>
            </w:pPr>
          </w:p>
        </w:tc>
        <w:tc>
          <w:tcPr>
            <w:tcW w:w="643" w:type="dxa"/>
            <w:tcBorders>
              <w:top w:val="single" w:sz="4" w:space="0" w:color="984806"/>
              <w:bottom w:val="single" w:sz="4" w:space="0" w:color="984806"/>
            </w:tcBorders>
          </w:tcPr>
          <w:p w14:paraId="69A9916A"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8" w:type="dxa"/>
            <w:tcBorders>
              <w:top w:val="single" w:sz="4" w:space="0" w:color="984806"/>
              <w:bottom w:val="single" w:sz="4" w:space="0" w:color="984806"/>
            </w:tcBorders>
          </w:tcPr>
          <w:p w14:paraId="293C74BD"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8" w:type="dxa"/>
            <w:tcBorders>
              <w:top w:val="single" w:sz="4" w:space="0" w:color="984806"/>
              <w:bottom w:val="single" w:sz="4" w:space="0" w:color="984806"/>
            </w:tcBorders>
          </w:tcPr>
          <w:p w14:paraId="0F57395A"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2" w:type="dxa"/>
            <w:tcBorders>
              <w:top w:val="single" w:sz="4" w:space="0" w:color="984806"/>
              <w:bottom w:val="single" w:sz="4" w:space="0" w:color="984806"/>
            </w:tcBorders>
          </w:tcPr>
          <w:p w14:paraId="203FD823" w14:textId="77777777" w:rsidR="00AE5A25" w:rsidRPr="00952B26" w:rsidRDefault="00AE5A25" w:rsidP="00AE5A25">
            <w:pPr>
              <w:spacing w:before="120" w:after="0" w:line="240" w:lineRule="auto"/>
              <w:jc w:val="center"/>
              <w:rPr>
                <w:rFonts w:cs="Calibri"/>
                <w:bCs/>
                <w:kern w:val="36"/>
                <w:sz w:val="24"/>
                <w:szCs w:val="24"/>
                <w:lang w:eastAsia="es-ES"/>
              </w:rPr>
            </w:pPr>
          </w:p>
        </w:tc>
      </w:tr>
      <w:tr w:rsidR="00AE5A25" w:rsidRPr="00952B26" w14:paraId="10BED447" w14:textId="77777777" w:rsidTr="00AE5A25">
        <w:tc>
          <w:tcPr>
            <w:tcW w:w="4698" w:type="dxa"/>
            <w:tcBorders>
              <w:top w:val="single" w:sz="4" w:space="0" w:color="984806"/>
              <w:bottom w:val="single" w:sz="4" w:space="0" w:color="984806"/>
            </w:tcBorders>
          </w:tcPr>
          <w:p w14:paraId="3828FF72" w14:textId="77777777" w:rsidR="00AE5A25" w:rsidRPr="00952B26" w:rsidRDefault="00AE5A25" w:rsidP="00AE5A25">
            <w:pPr>
              <w:spacing w:before="120" w:after="0" w:line="240" w:lineRule="auto"/>
              <w:jc w:val="both"/>
              <w:rPr>
                <w:rFonts w:cs="Calibri"/>
                <w:bCs/>
                <w:kern w:val="36"/>
                <w:sz w:val="24"/>
                <w:szCs w:val="24"/>
                <w:lang w:eastAsia="es-ES"/>
              </w:rPr>
            </w:pPr>
            <w:r w:rsidRPr="00952B26">
              <w:rPr>
                <w:rFonts w:cs="Calibri"/>
                <w:bCs/>
                <w:kern w:val="36"/>
                <w:sz w:val="24"/>
                <w:szCs w:val="24"/>
                <w:lang w:eastAsia="es-ES"/>
              </w:rPr>
              <w:t>Maior dispoñibilidade de presas invertebradas e, polo tanto, maior risco de colisión, debido á iluminación nocturna (*NA)</w:t>
            </w:r>
          </w:p>
        </w:tc>
        <w:tc>
          <w:tcPr>
            <w:tcW w:w="1013" w:type="dxa"/>
            <w:tcBorders>
              <w:top w:val="single" w:sz="4" w:space="0" w:color="984806"/>
              <w:bottom w:val="single" w:sz="4" w:space="0" w:color="984806"/>
            </w:tcBorders>
          </w:tcPr>
          <w:p w14:paraId="17DC922E" w14:textId="77777777" w:rsidR="00AE5A25" w:rsidRPr="00952B26" w:rsidRDefault="00AE5A25" w:rsidP="00AE5A25">
            <w:pPr>
              <w:spacing w:before="120" w:after="0" w:line="240" w:lineRule="auto"/>
              <w:jc w:val="center"/>
              <w:rPr>
                <w:rFonts w:cs="Calibri"/>
                <w:bCs/>
                <w:kern w:val="36"/>
                <w:sz w:val="24"/>
                <w:szCs w:val="24"/>
                <w:lang w:eastAsia="es-ES"/>
              </w:rPr>
            </w:pPr>
          </w:p>
        </w:tc>
        <w:tc>
          <w:tcPr>
            <w:tcW w:w="643" w:type="dxa"/>
            <w:tcBorders>
              <w:top w:val="single" w:sz="4" w:space="0" w:color="984806"/>
              <w:bottom w:val="single" w:sz="4" w:space="0" w:color="984806"/>
            </w:tcBorders>
          </w:tcPr>
          <w:p w14:paraId="03E0B96B" w14:textId="77777777" w:rsidR="00AE5A25" w:rsidRPr="00952B26" w:rsidRDefault="00AE5A25" w:rsidP="00AE5A25">
            <w:pPr>
              <w:spacing w:before="120" w:after="0" w:line="240" w:lineRule="auto"/>
              <w:jc w:val="center"/>
              <w:rPr>
                <w:rFonts w:cs="Calibri"/>
                <w:bCs/>
                <w:kern w:val="36"/>
                <w:sz w:val="24"/>
                <w:szCs w:val="24"/>
                <w:lang w:eastAsia="es-ES"/>
              </w:rPr>
            </w:pPr>
          </w:p>
        </w:tc>
        <w:tc>
          <w:tcPr>
            <w:tcW w:w="698" w:type="dxa"/>
            <w:tcBorders>
              <w:top w:val="single" w:sz="4" w:space="0" w:color="984806"/>
              <w:bottom w:val="single" w:sz="4" w:space="0" w:color="984806"/>
            </w:tcBorders>
          </w:tcPr>
          <w:p w14:paraId="5F35F504"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8" w:type="dxa"/>
            <w:tcBorders>
              <w:top w:val="single" w:sz="4" w:space="0" w:color="984806"/>
              <w:bottom w:val="single" w:sz="4" w:space="0" w:color="984806"/>
            </w:tcBorders>
          </w:tcPr>
          <w:p w14:paraId="34058EAB"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2" w:type="dxa"/>
            <w:tcBorders>
              <w:top w:val="single" w:sz="4" w:space="0" w:color="984806"/>
              <w:bottom w:val="single" w:sz="4" w:space="0" w:color="984806"/>
            </w:tcBorders>
          </w:tcPr>
          <w:p w14:paraId="543F0565" w14:textId="77777777" w:rsidR="00AE5A25" w:rsidRPr="00952B26" w:rsidRDefault="00AE5A25" w:rsidP="00AE5A25">
            <w:pPr>
              <w:spacing w:before="120" w:after="0" w:line="240" w:lineRule="auto"/>
              <w:jc w:val="center"/>
              <w:rPr>
                <w:rFonts w:cs="Calibri"/>
                <w:bCs/>
                <w:kern w:val="36"/>
                <w:sz w:val="24"/>
                <w:szCs w:val="24"/>
                <w:lang w:eastAsia="es-ES"/>
              </w:rPr>
            </w:pPr>
          </w:p>
        </w:tc>
      </w:tr>
      <w:tr w:rsidR="00AE5A25" w:rsidRPr="00952B26" w14:paraId="0A86CCA5" w14:textId="77777777" w:rsidTr="00AE5A25">
        <w:tc>
          <w:tcPr>
            <w:tcW w:w="4698" w:type="dxa"/>
            <w:tcBorders>
              <w:top w:val="single" w:sz="4" w:space="0" w:color="984806"/>
              <w:bottom w:val="single" w:sz="4" w:space="0" w:color="984806"/>
            </w:tcBorders>
          </w:tcPr>
          <w:p w14:paraId="03E26071" w14:textId="77777777" w:rsidR="00AE5A25" w:rsidRPr="00952B26" w:rsidRDefault="00AE5A25" w:rsidP="00AE5A25">
            <w:pPr>
              <w:spacing w:before="120" w:after="0" w:line="240" w:lineRule="auto"/>
              <w:jc w:val="both"/>
              <w:rPr>
                <w:rFonts w:cs="Calibri"/>
                <w:bCs/>
                <w:kern w:val="36"/>
                <w:sz w:val="24"/>
                <w:szCs w:val="24"/>
                <w:lang w:eastAsia="es-ES"/>
              </w:rPr>
            </w:pPr>
            <w:r w:rsidRPr="00952B26">
              <w:rPr>
                <w:rFonts w:cs="Calibri"/>
                <w:bCs/>
                <w:kern w:val="36"/>
                <w:sz w:val="24"/>
                <w:szCs w:val="24"/>
                <w:lang w:eastAsia="es-ES"/>
              </w:rPr>
              <w:t>Efectos indirectos (*NA)</w:t>
            </w:r>
          </w:p>
        </w:tc>
        <w:tc>
          <w:tcPr>
            <w:tcW w:w="1013" w:type="dxa"/>
            <w:tcBorders>
              <w:top w:val="single" w:sz="4" w:space="0" w:color="984806"/>
              <w:bottom w:val="single" w:sz="4" w:space="0" w:color="984806"/>
            </w:tcBorders>
          </w:tcPr>
          <w:p w14:paraId="1E9A8ED1" w14:textId="77777777" w:rsidR="00AE5A25" w:rsidRPr="00952B26" w:rsidRDefault="00AE5A25" w:rsidP="00AE5A25">
            <w:pPr>
              <w:spacing w:before="120" w:after="0" w:line="240" w:lineRule="auto"/>
              <w:jc w:val="center"/>
              <w:rPr>
                <w:rFonts w:cs="Calibri"/>
                <w:bCs/>
                <w:kern w:val="36"/>
                <w:sz w:val="24"/>
                <w:szCs w:val="24"/>
                <w:lang w:eastAsia="es-ES"/>
              </w:rPr>
            </w:pPr>
          </w:p>
        </w:tc>
        <w:tc>
          <w:tcPr>
            <w:tcW w:w="643" w:type="dxa"/>
            <w:tcBorders>
              <w:top w:val="single" w:sz="4" w:space="0" w:color="984806"/>
              <w:bottom w:val="single" w:sz="4" w:space="0" w:color="984806"/>
            </w:tcBorders>
          </w:tcPr>
          <w:p w14:paraId="2A65B182"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8" w:type="dxa"/>
            <w:tcBorders>
              <w:top w:val="single" w:sz="4" w:space="0" w:color="984806"/>
              <w:bottom w:val="single" w:sz="4" w:space="0" w:color="984806"/>
            </w:tcBorders>
          </w:tcPr>
          <w:p w14:paraId="1A5789F1"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8" w:type="dxa"/>
            <w:tcBorders>
              <w:top w:val="single" w:sz="4" w:space="0" w:color="984806"/>
              <w:bottom w:val="single" w:sz="4" w:space="0" w:color="984806"/>
            </w:tcBorders>
          </w:tcPr>
          <w:p w14:paraId="2B53A17E"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c>
          <w:tcPr>
            <w:tcW w:w="692" w:type="dxa"/>
            <w:tcBorders>
              <w:top w:val="single" w:sz="4" w:space="0" w:color="984806"/>
              <w:bottom w:val="single" w:sz="4" w:space="0" w:color="984806"/>
            </w:tcBorders>
          </w:tcPr>
          <w:p w14:paraId="4267286E" w14:textId="77777777" w:rsidR="00AE5A25" w:rsidRPr="00952B26" w:rsidRDefault="00AE5A25" w:rsidP="00AE5A25">
            <w:pPr>
              <w:spacing w:before="120" w:after="0" w:line="240" w:lineRule="auto"/>
              <w:jc w:val="center"/>
              <w:rPr>
                <w:rFonts w:cs="Calibri"/>
                <w:bCs/>
                <w:kern w:val="36"/>
                <w:sz w:val="24"/>
                <w:szCs w:val="24"/>
                <w:lang w:eastAsia="es-ES"/>
              </w:rPr>
            </w:pPr>
            <w:r w:rsidRPr="00952B26">
              <w:rPr>
                <w:rFonts w:cs="Calibri"/>
                <w:bCs/>
                <w:kern w:val="36"/>
                <w:sz w:val="24"/>
                <w:szCs w:val="24"/>
                <w:lang w:eastAsia="es-ES"/>
              </w:rPr>
              <w:t>X</w:t>
            </w:r>
          </w:p>
        </w:tc>
      </w:tr>
    </w:tbl>
    <w:p w14:paraId="706590C2" w14:textId="77777777" w:rsidR="00AE5A25" w:rsidRPr="00952B26" w:rsidRDefault="00AE5A25" w:rsidP="00AE5A25">
      <w:pPr>
        <w:spacing w:after="0" w:line="240" w:lineRule="auto"/>
        <w:ind w:left="283"/>
        <w:jc w:val="both"/>
        <w:rPr>
          <w:rFonts w:cs="Calibri"/>
          <w:bCs/>
          <w:kern w:val="36"/>
          <w:sz w:val="24"/>
          <w:szCs w:val="24"/>
          <w:lang w:eastAsia="es-ES"/>
        </w:rPr>
      </w:pPr>
      <w:r w:rsidRPr="00952B26">
        <w:rPr>
          <w:rFonts w:cs="Calibri"/>
          <w:bCs/>
          <w:kern w:val="36"/>
          <w:sz w:val="24"/>
          <w:szCs w:val="24"/>
          <w:lang w:eastAsia="es-ES"/>
        </w:rPr>
        <w:lastRenderedPageBreak/>
        <w:t>(*NA): repercusións non avaliadas no EsIA.</w:t>
      </w:r>
    </w:p>
    <w:p w14:paraId="036F52DF" w14:textId="77777777" w:rsidR="00AE5A25" w:rsidRPr="00952B26" w:rsidRDefault="00AE5A25" w:rsidP="00AE5A25">
      <w:pPr>
        <w:spacing w:after="0" w:line="240" w:lineRule="auto"/>
        <w:ind w:left="283"/>
        <w:jc w:val="both"/>
        <w:rPr>
          <w:rFonts w:cs="Calibri"/>
          <w:bCs/>
          <w:kern w:val="36"/>
          <w:sz w:val="24"/>
          <w:szCs w:val="24"/>
          <w:lang w:eastAsia="es-ES"/>
        </w:rPr>
      </w:pPr>
    </w:p>
    <w:p w14:paraId="60CAFA2B" w14:textId="77777777" w:rsidR="00AE5A25" w:rsidRPr="00952B26" w:rsidRDefault="00AE5A25" w:rsidP="00AE5A25">
      <w:pPr>
        <w:pBdr>
          <w:top w:val="single" w:sz="4" w:space="1" w:color="auto"/>
          <w:left w:val="single" w:sz="4" w:space="4" w:color="auto"/>
          <w:bottom w:val="single" w:sz="4" w:space="1" w:color="auto"/>
          <w:right w:val="single" w:sz="4" w:space="4" w:color="auto"/>
        </w:pBdr>
        <w:spacing w:before="120" w:after="0" w:line="240" w:lineRule="auto"/>
        <w:jc w:val="both"/>
        <w:rPr>
          <w:rFonts w:cs="Calibri"/>
          <w:bCs/>
          <w:kern w:val="36"/>
          <w:sz w:val="24"/>
          <w:szCs w:val="24"/>
          <w:lang w:eastAsia="es-ES"/>
        </w:rPr>
      </w:pPr>
      <w:r w:rsidRPr="00952B26">
        <w:rPr>
          <w:rFonts w:cs="Calibri"/>
          <w:bCs/>
          <w:kern w:val="36"/>
          <w:sz w:val="24"/>
          <w:szCs w:val="24"/>
          <w:lang w:eastAsia="es-ES"/>
        </w:rPr>
        <w:t xml:space="preserve">O impacto do PE </w:t>
      </w:r>
      <w:r>
        <w:rPr>
          <w:rFonts w:cs="Calibri"/>
          <w:bCs/>
          <w:kern w:val="36"/>
          <w:sz w:val="24"/>
          <w:szCs w:val="24"/>
          <w:lang w:eastAsia="es-ES"/>
        </w:rPr>
        <w:t>Torroña I</w:t>
      </w:r>
      <w:r w:rsidRPr="00952B26">
        <w:rPr>
          <w:rFonts w:cs="Calibri"/>
          <w:bCs/>
          <w:kern w:val="36"/>
          <w:sz w:val="24"/>
          <w:szCs w:val="24"/>
          <w:lang w:eastAsia="es-ES"/>
        </w:rPr>
        <w:t xml:space="preserve"> sobre a comunidade de morcegos prevese </w:t>
      </w:r>
      <w:r w:rsidRPr="00952B26">
        <w:rPr>
          <w:rFonts w:cs="Calibri"/>
          <w:b/>
          <w:kern w:val="36"/>
          <w:sz w:val="24"/>
          <w:szCs w:val="24"/>
          <w:lang w:eastAsia="es-ES"/>
        </w:rPr>
        <w:t>MOI SEVERA</w:t>
      </w:r>
      <w:r w:rsidRPr="00952B26">
        <w:rPr>
          <w:rFonts w:cs="Calibri"/>
          <w:bCs/>
          <w:kern w:val="36"/>
          <w:sz w:val="24"/>
          <w:szCs w:val="24"/>
          <w:lang w:eastAsia="es-ES"/>
        </w:rPr>
        <w:t>.</w:t>
      </w:r>
    </w:p>
    <w:p w14:paraId="6DEC2B31" w14:textId="77777777" w:rsidR="00AE5A25" w:rsidRDefault="00AE5A25" w:rsidP="00AE5A25">
      <w:pPr>
        <w:spacing w:after="0" w:line="240" w:lineRule="auto"/>
        <w:ind w:right="-284"/>
        <w:jc w:val="both"/>
        <w:rPr>
          <w:rStyle w:val="Hipervnculo"/>
          <w:rFonts w:cstheme="minorHAnsi"/>
          <w:sz w:val="24"/>
          <w:szCs w:val="24"/>
        </w:rPr>
      </w:pPr>
    </w:p>
    <w:p w14:paraId="1841FBCD" w14:textId="77777777" w:rsidR="00AE5A25" w:rsidRDefault="00AE5A25" w:rsidP="00AE5A25">
      <w:pPr>
        <w:spacing w:after="0" w:line="240" w:lineRule="auto"/>
        <w:ind w:right="-284"/>
        <w:jc w:val="both"/>
        <w:rPr>
          <w:rStyle w:val="Hipervnculo"/>
          <w:rFonts w:cstheme="minorHAnsi"/>
          <w:sz w:val="24"/>
          <w:szCs w:val="24"/>
        </w:rPr>
      </w:pPr>
    </w:p>
    <w:p w14:paraId="208856C7" w14:textId="77777777" w:rsidR="00AE5A25" w:rsidRPr="00EB4FAC" w:rsidRDefault="00AE5A25" w:rsidP="00AE5A25">
      <w:pPr>
        <w:pStyle w:val="Prrafodelista"/>
        <w:numPr>
          <w:ilvl w:val="0"/>
          <w:numId w:val="11"/>
        </w:numPr>
        <w:shd w:val="clear" w:color="auto" w:fill="D9E2F3"/>
        <w:spacing w:before="240"/>
        <w:ind w:left="1843" w:hanging="1843"/>
        <w:jc w:val="both"/>
        <w:outlineLvl w:val="0"/>
        <w:rPr>
          <w:b/>
          <w:color w:val="FF0000"/>
          <w:sz w:val="24"/>
          <w:szCs w:val="24"/>
        </w:rPr>
      </w:pPr>
      <w:bookmarkStart w:id="393" w:name="_Hlk87742265"/>
      <w:bookmarkStart w:id="394" w:name="_Toc88004914"/>
      <w:bookmarkStart w:id="395" w:name="_Toc132511016"/>
      <w:r w:rsidRPr="005161D6">
        <w:rPr>
          <w:b/>
          <w:color w:val="000000" w:themeColor="text1"/>
          <w:sz w:val="24"/>
          <w:szCs w:val="24"/>
        </w:rPr>
        <w:t>Deficiente e inadecuado Plan de seguemento ambiental</w:t>
      </w:r>
      <w:bookmarkEnd w:id="393"/>
      <w:r w:rsidRPr="005161D6">
        <w:rPr>
          <w:b/>
          <w:color w:val="000000" w:themeColor="text1"/>
          <w:sz w:val="24"/>
          <w:szCs w:val="24"/>
        </w:rPr>
        <w:t>.</w:t>
      </w:r>
      <w:bookmarkEnd w:id="394"/>
      <w:bookmarkEnd w:id="395"/>
    </w:p>
    <w:p w14:paraId="2B08B302" w14:textId="77777777" w:rsidR="00AE5A25" w:rsidRPr="00952B26" w:rsidRDefault="00AE5A25" w:rsidP="005161D6">
      <w:pPr>
        <w:spacing w:before="120" w:after="0" w:line="240" w:lineRule="auto"/>
        <w:jc w:val="both"/>
        <w:rPr>
          <w:rFonts w:cs="Calibri"/>
          <w:bCs/>
          <w:kern w:val="36"/>
          <w:sz w:val="24"/>
          <w:szCs w:val="24"/>
          <w:lang w:eastAsia="es-ES"/>
        </w:rPr>
      </w:pPr>
      <w:r w:rsidRPr="00952B26">
        <w:rPr>
          <w:rFonts w:cs="Calibri"/>
          <w:bCs/>
          <w:kern w:val="36"/>
          <w:sz w:val="24"/>
          <w:szCs w:val="24"/>
          <w:lang w:eastAsia="es-ES"/>
        </w:rPr>
        <w:t xml:space="preserve">As visitas </w:t>
      </w:r>
      <w:r>
        <w:rPr>
          <w:rFonts w:cs="Calibri"/>
          <w:bCs/>
          <w:kern w:val="36"/>
          <w:sz w:val="24"/>
          <w:szCs w:val="24"/>
          <w:lang w:eastAsia="es-ES"/>
        </w:rPr>
        <w:t>mensuais</w:t>
      </w:r>
      <w:r w:rsidRPr="00952B26">
        <w:rPr>
          <w:rFonts w:cs="Calibri"/>
          <w:bCs/>
          <w:kern w:val="36"/>
          <w:sz w:val="24"/>
          <w:szCs w:val="24"/>
          <w:lang w:eastAsia="es-ES"/>
        </w:rPr>
        <w:t xml:space="preserve"> durante os </w:t>
      </w:r>
      <w:r>
        <w:rPr>
          <w:rFonts w:cs="Calibri"/>
          <w:bCs/>
          <w:kern w:val="36"/>
          <w:sz w:val="24"/>
          <w:szCs w:val="24"/>
          <w:lang w:eastAsia="es-ES"/>
        </w:rPr>
        <w:t>tres</w:t>
      </w:r>
      <w:r w:rsidRPr="00952B26">
        <w:rPr>
          <w:rFonts w:cs="Calibri"/>
          <w:bCs/>
          <w:kern w:val="36"/>
          <w:sz w:val="24"/>
          <w:szCs w:val="24"/>
          <w:lang w:eastAsia="es-ES"/>
        </w:rPr>
        <w:t xml:space="preserve"> primeiros anos de funcionamento do PE que figuran no Plan de Seguemento Ambiental considéranse </w:t>
      </w:r>
      <w:r w:rsidRPr="00952B26">
        <w:rPr>
          <w:rFonts w:cs="Calibri"/>
          <w:b/>
          <w:kern w:val="36"/>
          <w:sz w:val="24"/>
          <w:szCs w:val="24"/>
          <w:lang w:eastAsia="es-ES"/>
        </w:rPr>
        <w:t>INADECUADAS</w:t>
      </w:r>
      <w:r w:rsidRPr="00952B26">
        <w:rPr>
          <w:rFonts w:cs="Calibri"/>
          <w:bCs/>
          <w:kern w:val="36"/>
          <w:sz w:val="24"/>
          <w:szCs w:val="24"/>
          <w:lang w:eastAsia="es-ES"/>
        </w:rPr>
        <w:t xml:space="preserve"> para a avaliación da mortandade de </w:t>
      </w:r>
      <w:r>
        <w:rPr>
          <w:rFonts w:cs="Calibri"/>
          <w:bCs/>
          <w:kern w:val="36"/>
          <w:sz w:val="24"/>
          <w:szCs w:val="24"/>
          <w:lang w:eastAsia="es-ES"/>
        </w:rPr>
        <w:t>fauna en xeral e avifauna e quiropterofauna en particular</w:t>
      </w:r>
      <w:r w:rsidRPr="00952B26">
        <w:rPr>
          <w:rFonts w:cs="Calibri"/>
          <w:bCs/>
          <w:kern w:val="36"/>
          <w:sz w:val="24"/>
          <w:szCs w:val="24"/>
          <w:lang w:eastAsia="es-ES"/>
        </w:rPr>
        <w:t xml:space="preserve">. A periodicidade </w:t>
      </w:r>
      <w:r>
        <w:rPr>
          <w:rFonts w:cs="Calibri"/>
          <w:bCs/>
          <w:kern w:val="36"/>
          <w:sz w:val="24"/>
          <w:szCs w:val="24"/>
          <w:lang w:eastAsia="es-ES"/>
        </w:rPr>
        <w:t>mensual</w:t>
      </w:r>
      <w:r w:rsidRPr="00952B26">
        <w:rPr>
          <w:rFonts w:cs="Calibri"/>
          <w:bCs/>
          <w:kern w:val="36"/>
          <w:sz w:val="24"/>
          <w:szCs w:val="24"/>
          <w:lang w:eastAsia="es-ES"/>
        </w:rPr>
        <w:t xml:space="preserve"> das visitas previstas é </w:t>
      </w:r>
      <w:r>
        <w:rPr>
          <w:rFonts w:cs="Calibri"/>
          <w:bCs/>
          <w:kern w:val="36"/>
          <w:sz w:val="24"/>
          <w:szCs w:val="24"/>
          <w:lang w:eastAsia="es-ES"/>
        </w:rPr>
        <w:t xml:space="preserve">máis que </w:t>
      </w:r>
      <w:r w:rsidRPr="00952B26">
        <w:rPr>
          <w:rFonts w:cs="Calibri"/>
          <w:bCs/>
          <w:kern w:val="36"/>
          <w:sz w:val="24"/>
          <w:szCs w:val="24"/>
          <w:lang w:eastAsia="es-ES"/>
        </w:rPr>
        <w:t>suficiente como para que os posibles cadáveres sexan eliminados por carroñeiros asemade, a presencia de cadáveres nas inmediacións dos aeroxeradores durante longos periodos de tempo atraerá outros depredadores, incrementando así o risco de mortes por impacto. En diversos traballos científicos establécese como “APROPIADA” unha frecuencia de mostraxe semanal nos traballos de seguemento.</w:t>
      </w:r>
    </w:p>
    <w:p w14:paraId="07C8257A" w14:textId="77777777" w:rsidR="00AE5A25" w:rsidRPr="00952B26" w:rsidRDefault="00AE5A25" w:rsidP="005161D6">
      <w:pPr>
        <w:spacing w:before="120" w:after="0" w:line="240" w:lineRule="auto"/>
        <w:jc w:val="both"/>
        <w:rPr>
          <w:rFonts w:cs="Calibri"/>
          <w:bCs/>
          <w:kern w:val="36"/>
          <w:sz w:val="24"/>
          <w:szCs w:val="24"/>
          <w:lang w:eastAsia="es-ES"/>
        </w:rPr>
      </w:pPr>
      <w:r w:rsidRPr="00952B26">
        <w:rPr>
          <w:rFonts w:cs="Calibri"/>
          <w:bCs/>
          <w:kern w:val="36"/>
          <w:sz w:val="24"/>
          <w:szCs w:val="24"/>
          <w:lang w:eastAsia="es-ES"/>
        </w:rPr>
        <w:t>Para poder acadar conclusións significativas do efecto do PE sobre a mortandade dos morcegos os resultados das mostraxes dos traballos de seguemento deben compararse con outras áreas “control” situadas fóra do PE. Non se definen estas áreas “control”. O EsIA pretende achacar efectos por impacto da construcción do PE mediante a obtención de resultados parecidos durante un período suficiente e non mediante comparación dos resultados obtidos con áreas “control”.</w:t>
      </w:r>
    </w:p>
    <w:p w14:paraId="24527351" w14:textId="77777777" w:rsidR="00AE5A25" w:rsidRPr="00952B26" w:rsidRDefault="00AE5A25" w:rsidP="005161D6">
      <w:pPr>
        <w:spacing w:before="120" w:after="0" w:line="240" w:lineRule="auto"/>
        <w:jc w:val="both"/>
        <w:rPr>
          <w:rFonts w:cs="Calibri"/>
          <w:bCs/>
          <w:kern w:val="36"/>
          <w:sz w:val="24"/>
          <w:szCs w:val="24"/>
          <w:lang w:eastAsia="es-ES"/>
        </w:rPr>
      </w:pPr>
      <w:r w:rsidRPr="00952B26">
        <w:rPr>
          <w:rFonts w:cs="Calibri"/>
          <w:bCs/>
          <w:kern w:val="36"/>
          <w:sz w:val="24"/>
          <w:szCs w:val="24"/>
          <w:lang w:eastAsia="es-ES"/>
        </w:rPr>
        <w:t>Tense demostrado que a medida máis efectiva na reducción da mortandade de morcegos é o incremento da velocidade de arranque dos aeroxeradores (por enriba de 6 m/s) xa que existe unha relación inversa entre a actividade dos morcegos e a velocidade do vento. Porén esta medida ten un impacto na producción de electricidade do PE e polo tanto no seu rendemento económico. Dado que non existen datos da actividade de morcegos ó longo do ano a diferentes alturas, nin existen datos do recurso eólico, nin existe un mapa de riscos na área de implantación do PE, é imposible avaliar a viabilidade das medidas a adoptar para minimizar os accidentes cos morcegos e coa avifauna.</w:t>
      </w:r>
    </w:p>
    <w:p w14:paraId="0A1EB489" w14:textId="77777777" w:rsidR="00AE5A25" w:rsidRPr="00952B26" w:rsidRDefault="00AE5A25" w:rsidP="005161D6">
      <w:pPr>
        <w:spacing w:before="120" w:after="0" w:line="240" w:lineRule="auto"/>
        <w:jc w:val="both"/>
        <w:rPr>
          <w:rFonts w:cs="Calibri"/>
          <w:bCs/>
          <w:kern w:val="36"/>
          <w:sz w:val="24"/>
          <w:szCs w:val="24"/>
          <w:lang w:eastAsia="es-ES"/>
        </w:rPr>
      </w:pPr>
      <w:r w:rsidRPr="00952B26">
        <w:rPr>
          <w:rFonts w:cs="Calibri"/>
          <w:b/>
          <w:bCs/>
          <w:kern w:val="36"/>
          <w:sz w:val="24"/>
          <w:szCs w:val="24"/>
          <w:lang w:eastAsia="es-ES"/>
        </w:rPr>
        <w:t>Non se contempla o incremento da velocidade de arranque</w:t>
      </w:r>
      <w:r w:rsidRPr="00952B26">
        <w:rPr>
          <w:rFonts w:cs="Calibri"/>
          <w:bCs/>
          <w:kern w:val="36"/>
          <w:sz w:val="24"/>
          <w:szCs w:val="24"/>
          <w:lang w:eastAsia="es-ES"/>
        </w:rPr>
        <w:t xml:space="preserve"> como medida a adoptar para reducir os accidentes sobre os morcegos.</w:t>
      </w:r>
    </w:p>
    <w:p w14:paraId="57009188" w14:textId="77777777" w:rsidR="00AE5A25" w:rsidRPr="00952B26" w:rsidRDefault="00AE5A25" w:rsidP="005161D6">
      <w:pPr>
        <w:spacing w:before="120" w:after="0" w:line="240" w:lineRule="auto"/>
        <w:jc w:val="both"/>
        <w:rPr>
          <w:rFonts w:cs="Calibri"/>
          <w:bCs/>
          <w:kern w:val="36"/>
          <w:sz w:val="24"/>
          <w:szCs w:val="24"/>
          <w:lang w:eastAsia="es-ES"/>
        </w:rPr>
      </w:pPr>
      <w:r w:rsidRPr="00952B26">
        <w:rPr>
          <w:rFonts w:cs="Calibri"/>
          <w:bCs/>
          <w:kern w:val="36"/>
          <w:sz w:val="24"/>
          <w:szCs w:val="24"/>
          <w:lang w:eastAsia="es-ES"/>
        </w:rPr>
        <w:t>No EsIA establécese que:</w:t>
      </w:r>
    </w:p>
    <w:p w14:paraId="4BDBFD3A" w14:textId="77777777" w:rsidR="00AE5A25" w:rsidRPr="00952B26" w:rsidRDefault="00AE5A25" w:rsidP="005161D6">
      <w:pPr>
        <w:spacing w:before="120" w:after="0" w:line="240" w:lineRule="auto"/>
        <w:ind w:left="551" w:right="819"/>
        <w:jc w:val="both"/>
        <w:rPr>
          <w:rFonts w:cs="Calibri"/>
          <w:bCs/>
          <w:kern w:val="36"/>
          <w:sz w:val="24"/>
          <w:szCs w:val="24"/>
          <w:lang w:eastAsia="es-ES"/>
        </w:rPr>
      </w:pPr>
      <w:r w:rsidRPr="00952B26">
        <w:rPr>
          <w:rFonts w:cs="Calibri"/>
          <w:bCs/>
          <w:kern w:val="36"/>
          <w:sz w:val="24"/>
          <w:szCs w:val="24"/>
          <w:lang w:eastAsia="es-ES"/>
        </w:rPr>
        <w:t>“</w:t>
      </w:r>
      <w:r w:rsidRPr="00952B26">
        <w:rPr>
          <w:rFonts w:cs="Calibri"/>
          <w:bCs/>
          <w:i/>
          <w:kern w:val="36"/>
          <w:sz w:val="24"/>
          <w:szCs w:val="24"/>
          <w:lang w:eastAsia="es-ES"/>
        </w:rPr>
        <w:t>Respecto a la mortalidad por colisión, fijaremos como umbral de alerta la detección de víctimas de colisión que supongan el 40% de la población estimada de una determinada especie en el parque</w:t>
      </w:r>
      <w:r w:rsidRPr="00952B26">
        <w:rPr>
          <w:rFonts w:cs="Calibri"/>
          <w:bCs/>
          <w:kern w:val="36"/>
          <w:sz w:val="24"/>
          <w:szCs w:val="24"/>
          <w:lang w:eastAsia="es-ES"/>
        </w:rPr>
        <w:t>”</w:t>
      </w:r>
    </w:p>
    <w:p w14:paraId="518E6659" w14:textId="77777777" w:rsidR="00AE5A25" w:rsidRPr="00952B26" w:rsidRDefault="00AE5A25" w:rsidP="005161D6">
      <w:pPr>
        <w:spacing w:before="120" w:after="0" w:line="240" w:lineRule="auto"/>
        <w:jc w:val="both"/>
        <w:rPr>
          <w:rFonts w:cs="Calibri"/>
          <w:bCs/>
          <w:kern w:val="36"/>
          <w:sz w:val="24"/>
          <w:szCs w:val="24"/>
          <w:lang w:eastAsia="es-ES"/>
        </w:rPr>
      </w:pPr>
      <w:r w:rsidRPr="00952B26">
        <w:rPr>
          <w:rFonts w:cs="Calibri"/>
          <w:b/>
          <w:bCs/>
          <w:kern w:val="36"/>
          <w:sz w:val="24"/>
          <w:szCs w:val="24"/>
          <w:lang w:eastAsia="es-ES"/>
        </w:rPr>
        <w:t>Non se realizaron estimas do tamaño poboacional de aves e quirópteros polo que non se pode establecer o umbarla de alerta establecido</w:t>
      </w:r>
      <w:r w:rsidRPr="00952B26">
        <w:rPr>
          <w:rFonts w:cs="Calibri"/>
          <w:bCs/>
          <w:kern w:val="36"/>
          <w:sz w:val="24"/>
          <w:szCs w:val="24"/>
          <w:lang w:eastAsia="es-ES"/>
        </w:rPr>
        <w:t>.</w:t>
      </w:r>
    </w:p>
    <w:p w14:paraId="5EF93AB9" w14:textId="77777777" w:rsidR="00AE5A25" w:rsidRPr="00952B26" w:rsidRDefault="00AE5A25" w:rsidP="005161D6">
      <w:pPr>
        <w:spacing w:before="120" w:after="0" w:line="240" w:lineRule="auto"/>
        <w:ind w:left="551" w:right="819"/>
        <w:jc w:val="both"/>
        <w:rPr>
          <w:rFonts w:cs="Calibri"/>
          <w:bCs/>
          <w:kern w:val="36"/>
          <w:sz w:val="24"/>
          <w:szCs w:val="24"/>
          <w:lang w:eastAsia="es-ES"/>
        </w:rPr>
      </w:pPr>
      <w:r w:rsidRPr="00952B26">
        <w:rPr>
          <w:rFonts w:cs="Calibri"/>
          <w:bCs/>
          <w:kern w:val="36"/>
          <w:sz w:val="24"/>
          <w:szCs w:val="24"/>
          <w:lang w:eastAsia="es-ES"/>
        </w:rPr>
        <w:t>“</w:t>
      </w:r>
      <w:r w:rsidRPr="00952B26">
        <w:rPr>
          <w:rFonts w:cs="Calibri"/>
          <w:bCs/>
          <w:i/>
          <w:kern w:val="36"/>
          <w:sz w:val="24"/>
          <w:szCs w:val="24"/>
          <w:lang w:eastAsia="es-ES"/>
        </w:rPr>
        <w:t>En cuanto a los umbrales de riesgo por aparición del efecto vacío, consideraremos umbral de alerta cuando la diversidad detectada de especies disminuya más de un 30%, o cuando la densidad de aves sea inferior al 50%. El umbral inadmisible se alcanzará con un descenso del 70% y del 80% respectivamente</w:t>
      </w:r>
      <w:r w:rsidRPr="00952B26">
        <w:rPr>
          <w:rFonts w:cs="Calibri"/>
          <w:bCs/>
          <w:kern w:val="36"/>
          <w:sz w:val="24"/>
          <w:szCs w:val="24"/>
          <w:lang w:eastAsia="es-ES"/>
        </w:rPr>
        <w:t>”.</w:t>
      </w:r>
    </w:p>
    <w:p w14:paraId="1A4EB59C" w14:textId="77777777" w:rsidR="00AE5A25" w:rsidRPr="00952B26" w:rsidRDefault="00AE5A25" w:rsidP="005161D6">
      <w:pPr>
        <w:spacing w:before="120" w:after="0" w:line="240" w:lineRule="auto"/>
        <w:jc w:val="both"/>
        <w:rPr>
          <w:rFonts w:cs="Calibri"/>
          <w:bCs/>
          <w:kern w:val="36"/>
          <w:sz w:val="24"/>
          <w:szCs w:val="24"/>
          <w:lang w:eastAsia="es-ES"/>
        </w:rPr>
      </w:pPr>
      <w:r w:rsidRPr="00952B26">
        <w:rPr>
          <w:rFonts w:cs="Calibri"/>
          <w:bCs/>
          <w:kern w:val="36"/>
          <w:sz w:val="24"/>
          <w:szCs w:val="24"/>
          <w:lang w:eastAsia="es-ES"/>
        </w:rPr>
        <w:t>Non se calculou a diversidade de especies da zona afectada polo PE, tan só se realizou unha estima da diversidade de avifauna, polo tanto os umbrais de risco definidos son inadecuados.</w:t>
      </w:r>
    </w:p>
    <w:p w14:paraId="5899D273" w14:textId="77777777" w:rsidR="00AE5A25" w:rsidRPr="00952B26" w:rsidRDefault="00AE5A25" w:rsidP="005161D6">
      <w:pPr>
        <w:pBdr>
          <w:top w:val="single" w:sz="4" w:space="1" w:color="auto"/>
          <w:left w:val="single" w:sz="4" w:space="4" w:color="auto"/>
          <w:bottom w:val="single" w:sz="4" w:space="1" w:color="auto"/>
          <w:right w:val="single" w:sz="4" w:space="4" w:color="auto"/>
        </w:pBdr>
        <w:spacing w:before="120" w:after="0" w:line="240" w:lineRule="auto"/>
        <w:jc w:val="both"/>
        <w:rPr>
          <w:rFonts w:cs="Calibri"/>
          <w:bCs/>
          <w:kern w:val="36"/>
          <w:sz w:val="24"/>
          <w:szCs w:val="24"/>
          <w:lang w:eastAsia="es-ES"/>
        </w:rPr>
      </w:pPr>
      <w:bookmarkStart w:id="396" w:name="_Hlk87107032"/>
      <w:r w:rsidRPr="00952B26">
        <w:rPr>
          <w:rFonts w:cs="Calibri"/>
          <w:bCs/>
          <w:kern w:val="36"/>
          <w:sz w:val="24"/>
          <w:szCs w:val="24"/>
          <w:lang w:eastAsia="es-ES"/>
        </w:rPr>
        <w:lastRenderedPageBreak/>
        <w:t>O Plan de Seguemento Ambiental establecido no EsIA é inadecuado para a avaliación dos efectos sobre a mortandade sobre as poboacións e as medidas establecidas para a reducción da mortandade son insuficientes e non se axustan á realidade.</w:t>
      </w:r>
    </w:p>
    <w:p w14:paraId="202B6922" w14:textId="77777777" w:rsidR="00AE5A25" w:rsidRPr="003A3EF0" w:rsidRDefault="00AE5A25" w:rsidP="00AE5A25">
      <w:pPr>
        <w:pStyle w:val="Prrafodelista"/>
        <w:numPr>
          <w:ilvl w:val="0"/>
          <w:numId w:val="11"/>
        </w:numPr>
        <w:shd w:val="clear" w:color="auto" w:fill="D9E2F3"/>
        <w:spacing w:before="120"/>
        <w:ind w:left="1843" w:hanging="1843"/>
        <w:jc w:val="both"/>
        <w:outlineLvl w:val="0"/>
        <w:rPr>
          <w:b/>
          <w:sz w:val="24"/>
          <w:szCs w:val="24"/>
        </w:rPr>
      </w:pPr>
      <w:bookmarkStart w:id="397" w:name="_Hlk87742284"/>
      <w:bookmarkStart w:id="398" w:name="_Toc88004915"/>
      <w:bookmarkStart w:id="399" w:name="_Toc132511017"/>
      <w:bookmarkStart w:id="400" w:name="_Hlk87107101"/>
      <w:bookmarkEnd w:id="396"/>
      <w:r w:rsidRPr="003A3EF0">
        <w:rPr>
          <w:b/>
          <w:sz w:val="24"/>
          <w:szCs w:val="24"/>
        </w:rPr>
        <w:t>Deficiente avaliación dos efectos sobre a vexetación</w:t>
      </w:r>
      <w:bookmarkEnd w:id="397"/>
      <w:r w:rsidRPr="003A3EF0">
        <w:rPr>
          <w:b/>
          <w:sz w:val="24"/>
          <w:szCs w:val="24"/>
        </w:rPr>
        <w:t>.</w:t>
      </w:r>
      <w:bookmarkEnd w:id="398"/>
      <w:bookmarkEnd w:id="399"/>
    </w:p>
    <w:p w14:paraId="3C6D11A5" w14:textId="77777777" w:rsidR="00AE5A25" w:rsidRPr="00DD1382" w:rsidRDefault="00AE5A25" w:rsidP="00AE5A25">
      <w:pPr>
        <w:spacing w:before="120" w:after="0" w:line="240" w:lineRule="auto"/>
        <w:jc w:val="both"/>
        <w:rPr>
          <w:sz w:val="24"/>
          <w:szCs w:val="24"/>
        </w:rPr>
      </w:pPr>
      <w:bookmarkStart w:id="401" w:name="_Hlk87107124"/>
      <w:bookmarkEnd w:id="400"/>
      <w:r w:rsidRPr="00501ECF">
        <w:rPr>
          <w:sz w:val="24"/>
          <w:szCs w:val="24"/>
        </w:rPr>
        <w:t xml:space="preserve">O EsIA do PE </w:t>
      </w:r>
      <w:r>
        <w:rPr>
          <w:sz w:val="24"/>
          <w:szCs w:val="24"/>
        </w:rPr>
        <w:t xml:space="preserve">Torroña I </w:t>
      </w:r>
      <w:r w:rsidRPr="00501ECF">
        <w:rPr>
          <w:sz w:val="24"/>
          <w:szCs w:val="24"/>
        </w:rPr>
        <w:t xml:space="preserve"> non inclúe no inventario de vexetación e polo tanto non avalía os efectos sobre as seguintes especies: </w:t>
      </w:r>
      <w:r w:rsidRPr="00501ECF">
        <w:rPr>
          <w:i/>
          <w:iCs/>
          <w:sz w:val="24"/>
          <w:szCs w:val="24"/>
        </w:rPr>
        <w:t xml:space="preserve">Arnica sp. </w:t>
      </w:r>
      <w:r w:rsidRPr="00501ECF">
        <w:rPr>
          <w:sz w:val="24"/>
          <w:szCs w:val="24"/>
        </w:rPr>
        <w:t xml:space="preserve">(algunhas especies incluidas no Listado de Especies Silvestres en Ráxime de Protección Especial LESPRE), </w:t>
      </w:r>
      <w:r w:rsidRPr="00501ECF">
        <w:rPr>
          <w:i/>
          <w:iCs/>
          <w:sz w:val="24"/>
          <w:szCs w:val="24"/>
        </w:rPr>
        <w:t>Ilex aquifolium</w:t>
      </w:r>
      <w:r w:rsidRPr="00501ECF">
        <w:rPr>
          <w:sz w:val="24"/>
          <w:szCs w:val="24"/>
        </w:rPr>
        <w:t xml:space="preserve">, </w:t>
      </w:r>
      <w:r w:rsidRPr="00501ECF">
        <w:rPr>
          <w:i/>
          <w:iCs/>
          <w:sz w:val="24"/>
          <w:szCs w:val="24"/>
        </w:rPr>
        <w:t>Narcisus cyclamineus</w:t>
      </w:r>
      <w:r w:rsidRPr="00501ECF">
        <w:rPr>
          <w:sz w:val="24"/>
          <w:szCs w:val="24"/>
        </w:rPr>
        <w:t xml:space="preserve"> (catalogada VULNERABLE no Catálogo Galego de Especies Ameazadas)</w:t>
      </w:r>
      <w:r>
        <w:rPr>
          <w:sz w:val="24"/>
          <w:szCs w:val="24"/>
        </w:rPr>
        <w:t xml:space="preserve"> ou</w:t>
      </w:r>
      <w:r w:rsidRPr="00815345">
        <w:rPr>
          <w:i/>
          <w:iCs/>
        </w:rPr>
        <w:t xml:space="preserve"> </w:t>
      </w:r>
      <w:r w:rsidRPr="00DD1382">
        <w:rPr>
          <w:i/>
          <w:iCs/>
          <w:sz w:val="24"/>
          <w:szCs w:val="24"/>
        </w:rPr>
        <w:t>Asphodelus macrocarpus</w:t>
      </w:r>
      <w:r w:rsidRPr="00DD1382">
        <w:rPr>
          <w:sz w:val="24"/>
          <w:szCs w:val="24"/>
        </w:rPr>
        <w:t>, especie montana moi rara en áreas litorais, que habita en serras do interior de Galiza.</w:t>
      </w:r>
    </w:p>
    <w:p w14:paraId="3F4ACE0B" w14:textId="77777777" w:rsidR="00AE5A25" w:rsidRDefault="00AE5A25" w:rsidP="00AE5A25">
      <w:pPr>
        <w:pStyle w:val="Standard"/>
        <w:spacing w:before="120"/>
        <w:jc w:val="both"/>
      </w:pPr>
      <w:r>
        <w:rPr>
          <w:rFonts w:ascii="Calibri" w:hAnsi="Calibri"/>
        </w:rPr>
        <w:t>Por outro lado, o pastoreo continuado dos herbívoros domésticos e - sobre todo - dos cabalos salvaxes - que contan na serra da Groba cunha das poboacións máis numerosas e xeneticamente mellor conservadas de toda Galiza -, moldearon esta comunidade vexetal ao longo de miles de anos, conferíndolle unha estrutura complexa, con núcleos leñosos de toxo (</w:t>
      </w:r>
      <w:r>
        <w:rPr>
          <w:rFonts w:ascii="Calibri" w:hAnsi="Calibri"/>
          <w:i/>
          <w:iCs/>
        </w:rPr>
        <w:t>Ulex europaeus</w:t>
      </w:r>
      <w:r>
        <w:rPr>
          <w:rFonts w:ascii="Calibri" w:hAnsi="Calibri"/>
        </w:rPr>
        <w:t xml:space="preserve"> subsp. </w:t>
      </w:r>
      <w:r>
        <w:rPr>
          <w:rFonts w:ascii="Calibri" w:hAnsi="Calibri"/>
          <w:i/>
          <w:iCs/>
        </w:rPr>
        <w:t>latebracteatus</w:t>
      </w:r>
      <w:r>
        <w:rPr>
          <w:rFonts w:ascii="Calibri" w:hAnsi="Calibri"/>
        </w:rPr>
        <w:t xml:space="preserve">, </w:t>
      </w:r>
      <w:r>
        <w:rPr>
          <w:rFonts w:ascii="Calibri" w:hAnsi="Calibri"/>
          <w:i/>
          <w:iCs/>
        </w:rPr>
        <w:t>U. minor</w:t>
      </w:r>
      <w:r>
        <w:rPr>
          <w:rFonts w:ascii="Calibri" w:hAnsi="Calibri"/>
        </w:rPr>
        <w:t xml:space="preserve"> e </w:t>
      </w:r>
      <w:r>
        <w:rPr>
          <w:rFonts w:ascii="Calibri" w:hAnsi="Calibri"/>
          <w:i/>
          <w:iCs/>
        </w:rPr>
        <w:t xml:space="preserve">U. gallii </w:t>
      </w:r>
      <w:r>
        <w:rPr>
          <w:rFonts w:ascii="Calibri" w:hAnsi="Calibri"/>
        </w:rPr>
        <w:t>subsp. b</w:t>
      </w:r>
      <w:r>
        <w:rPr>
          <w:rFonts w:ascii="Calibri" w:hAnsi="Calibri"/>
          <w:i/>
          <w:iCs/>
        </w:rPr>
        <w:t>reoganii</w:t>
      </w:r>
      <w:r>
        <w:rPr>
          <w:rFonts w:ascii="Calibri" w:hAnsi="Calibri"/>
        </w:rPr>
        <w:t>) e ericáceas (</w:t>
      </w:r>
      <w:r>
        <w:rPr>
          <w:rFonts w:ascii="Calibri" w:hAnsi="Calibri"/>
          <w:i/>
          <w:iCs/>
        </w:rPr>
        <w:t>Calluna vulgaris</w:t>
      </w:r>
      <w:r>
        <w:rPr>
          <w:rFonts w:ascii="Calibri" w:hAnsi="Calibri"/>
        </w:rPr>
        <w:t xml:space="preserve">, </w:t>
      </w:r>
      <w:r>
        <w:rPr>
          <w:rFonts w:ascii="Calibri" w:hAnsi="Calibri"/>
          <w:i/>
          <w:iCs/>
        </w:rPr>
        <w:t>Erica cinerea</w:t>
      </w:r>
      <w:r>
        <w:rPr>
          <w:rFonts w:ascii="Calibri" w:hAnsi="Calibri"/>
        </w:rPr>
        <w:t xml:space="preserve">, </w:t>
      </w:r>
      <w:r>
        <w:rPr>
          <w:rFonts w:ascii="Calibri" w:hAnsi="Calibri"/>
          <w:i/>
          <w:iCs/>
        </w:rPr>
        <w:t xml:space="preserve">E. umbellata </w:t>
      </w:r>
      <w:r>
        <w:rPr>
          <w:rFonts w:ascii="Calibri" w:hAnsi="Calibri"/>
        </w:rPr>
        <w:t xml:space="preserve">ou </w:t>
      </w:r>
      <w:r>
        <w:rPr>
          <w:rFonts w:ascii="Calibri" w:hAnsi="Calibri"/>
          <w:i/>
          <w:iCs/>
        </w:rPr>
        <w:t>E. ciliaris</w:t>
      </w:r>
      <w:r>
        <w:rPr>
          <w:rFonts w:ascii="Calibri" w:hAnsi="Calibri"/>
        </w:rPr>
        <w:t>). Entre estas mouteiras elevadas, de perfil arredondado, existe unha densa malla de pequenas superficies herbáceas transitadas pola fauna, ocupadas por diversas especies de gramíneas (</w:t>
      </w:r>
      <w:r>
        <w:rPr>
          <w:rFonts w:ascii="Calibri" w:hAnsi="Calibri"/>
          <w:i/>
          <w:iCs/>
        </w:rPr>
        <w:t>Agrostis</w:t>
      </w:r>
      <w:r>
        <w:rPr>
          <w:rFonts w:ascii="Calibri" w:hAnsi="Calibri"/>
        </w:rPr>
        <w:t xml:space="preserve"> gr. </w:t>
      </w:r>
      <w:r>
        <w:rPr>
          <w:rFonts w:ascii="Calibri" w:hAnsi="Calibri"/>
          <w:i/>
          <w:iCs/>
        </w:rPr>
        <w:t>capillaris</w:t>
      </w:r>
      <w:r>
        <w:rPr>
          <w:rFonts w:ascii="Calibri" w:hAnsi="Calibri"/>
        </w:rPr>
        <w:t xml:space="preserve">, </w:t>
      </w:r>
      <w:r>
        <w:rPr>
          <w:rFonts w:ascii="Calibri" w:hAnsi="Calibri"/>
          <w:i/>
          <w:iCs/>
        </w:rPr>
        <w:t>A</w:t>
      </w:r>
      <w:r>
        <w:rPr>
          <w:rFonts w:ascii="Calibri" w:hAnsi="Calibri"/>
        </w:rPr>
        <w:t xml:space="preserve">. </w:t>
      </w:r>
      <w:r>
        <w:rPr>
          <w:rFonts w:ascii="Calibri" w:hAnsi="Calibri"/>
          <w:i/>
          <w:iCs/>
        </w:rPr>
        <w:t>curtisii</w:t>
      </w:r>
      <w:r>
        <w:rPr>
          <w:rFonts w:ascii="Calibri" w:hAnsi="Calibri"/>
        </w:rPr>
        <w:t xml:space="preserve">, a orófila </w:t>
      </w:r>
      <w:r>
        <w:rPr>
          <w:rFonts w:ascii="Calibri" w:hAnsi="Calibri"/>
          <w:i/>
          <w:iCs/>
        </w:rPr>
        <w:t>Avenula</w:t>
      </w:r>
      <w:r>
        <w:rPr>
          <w:rFonts w:ascii="Calibri" w:hAnsi="Calibri"/>
        </w:rPr>
        <w:t xml:space="preserve"> </w:t>
      </w:r>
      <w:r>
        <w:rPr>
          <w:rFonts w:ascii="Calibri" w:hAnsi="Calibri"/>
          <w:i/>
          <w:iCs/>
        </w:rPr>
        <w:t>sulcata</w:t>
      </w:r>
      <w:r>
        <w:rPr>
          <w:rFonts w:ascii="Calibri" w:hAnsi="Calibri"/>
        </w:rPr>
        <w:t>, etc.), abróteas (</w:t>
      </w:r>
      <w:r>
        <w:rPr>
          <w:rFonts w:ascii="Calibri" w:hAnsi="Calibri"/>
          <w:i/>
          <w:iCs/>
        </w:rPr>
        <w:t>Asphodelus</w:t>
      </w:r>
      <w:r>
        <w:rPr>
          <w:rFonts w:ascii="Calibri" w:hAnsi="Calibri"/>
        </w:rPr>
        <w:t xml:space="preserve"> </w:t>
      </w:r>
      <w:r>
        <w:rPr>
          <w:rFonts w:ascii="Calibri" w:hAnsi="Calibri"/>
          <w:i/>
          <w:iCs/>
        </w:rPr>
        <w:t>macrocarpus</w:t>
      </w:r>
      <w:r>
        <w:rPr>
          <w:rFonts w:ascii="Calibri" w:hAnsi="Calibri"/>
        </w:rPr>
        <w:t>), xuncos de carácter anual ou pequenas herbáceas indicadoras de humidade edáfica (</w:t>
      </w:r>
      <w:r>
        <w:rPr>
          <w:rFonts w:ascii="Calibri" w:hAnsi="Calibri"/>
          <w:i/>
          <w:iCs/>
        </w:rPr>
        <w:t>Scilla</w:t>
      </w:r>
      <w:r>
        <w:rPr>
          <w:rFonts w:ascii="Calibri" w:hAnsi="Calibri"/>
        </w:rPr>
        <w:t xml:space="preserve"> </w:t>
      </w:r>
      <w:r>
        <w:rPr>
          <w:rFonts w:ascii="Calibri" w:hAnsi="Calibri"/>
          <w:i/>
          <w:iCs/>
        </w:rPr>
        <w:t>verna</w:t>
      </w:r>
      <w:r>
        <w:rPr>
          <w:rFonts w:ascii="Calibri" w:hAnsi="Calibri"/>
        </w:rPr>
        <w:t xml:space="preserve">, </w:t>
      </w:r>
      <w:r>
        <w:rPr>
          <w:rFonts w:ascii="Calibri" w:hAnsi="Calibri"/>
          <w:i/>
          <w:iCs/>
        </w:rPr>
        <w:t>Potentilla</w:t>
      </w:r>
      <w:r>
        <w:rPr>
          <w:rFonts w:ascii="Calibri" w:hAnsi="Calibri"/>
        </w:rPr>
        <w:t xml:space="preserve"> </w:t>
      </w:r>
      <w:r>
        <w:rPr>
          <w:rFonts w:ascii="Calibri" w:hAnsi="Calibri"/>
          <w:i/>
          <w:iCs/>
        </w:rPr>
        <w:t>erecta</w:t>
      </w:r>
      <w:r>
        <w:rPr>
          <w:rFonts w:ascii="Calibri" w:hAnsi="Calibri"/>
        </w:rPr>
        <w:t xml:space="preserve">, </w:t>
      </w:r>
      <w:r>
        <w:rPr>
          <w:rFonts w:ascii="Calibri" w:hAnsi="Calibri"/>
          <w:i/>
          <w:iCs/>
        </w:rPr>
        <w:t>Carum</w:t>
      </w:r>
      <w:r>
        <w:rPr>
          <w:rFonts w:ascii="Calibri" w:hAnsi="Calibri"/>
        </w:rPr>
        <w:t xml:space="preserve"> </w:t>
      </w:r>
      <w:r>
        <w:rPr>
          <w:rFonts w:ascii="Calibri" w:hAnsi="Calibri"/>
          <w:i/>
          <w:iCs/>
        </w:rPr>
        <w:t>verticillatum</w:t>
      </w:r>
      <w:r>
        <w:rPr>
          <w:rFonts w:ascii="Calibri" w:hAnsi="Calibri"/>
        </w:rPr>
        <w:t>, etc.).</w:t>
      </w:r>
    </w:p>
    <w:p w14:paraId="33CF5370" w14:textId="77777777" w:rsidR="00AE5A25" w:rsidRDefault="00AE5A25" w:rsidP="00AE5A25">
      <w:pPr>
        <w:pStyle w:val="Standard"/>
        <w:spacing w:before="120"/>
        <w:jc w:val="both"/>
      </w:pPr>
      <w:r>
        <w:rPr>
          <w:rFonts w:ascii="Calibri" w:hAnsi="Calibri"/>
        </w:rPr>
        <w:t>Esta estrutura aberta constitúe un hábitat de especial importancia para numerosas especies animais. Precisamente, o valor que presenta a serra da Groba no seu conxunto - e de maneira moi particular, as súas cotas de maior altitude - para a rica comunidade ornítica que nidifica, inverna ou fai uso da serra como estación de paso e descanso nos seus desprazamentos migratorios, depende directamente da calidade dos seus hábitats. As comunidades vexetais arbustivas de carrasqueira atlántica europea en bo estado de conservación representan un valor cada vez máis escaso no noso país, debido ao abandono dos aproveitamentos agrícolas e gandeiros tradicionais e á extensión dos monocultivos forestais.</w:t>
      </w:r>
    </w:p>
    <w:p w14:paraId="33C0C88E" w14:textId="77777777" w:rsidR="00AE5A25" w:rsidRDefault="00AE5A25" w:rsidP="00AE5A25">
      <w:pPr>
        <w:pStyle w:val="Standard"/>
        <w:spacing w:before="120"/>
        <w:jc w:val="both"/>
        <w:rPr>
          <w:rFonts w:ascii="Calibri" w:hAnsi="Calibri"/>
        </w:rPr>
      </w:pPr>
      <w:r>
        <w:rPr>
          <w:rFonts w:ascii="Calibri" w:hAnsi="Calibri"/>
        </w:rPr>
        <w:t>A supervivencia na serra da Groba de especies como a laverca (</w:t>
      </w:r>
      <w:r>
        <w:rPr>
          <w:rFonts w:ascii="Calibri" w:hAnsi="Calibri"/>
          <w:i/>
          <w:iCs/>
        </w:rPr>
        <w:t>Alauda arvensis</w:t>
      </w:r>
      <w:r>
        <w:rPr>
          <w:rFonts w:ascii="Calibri" w:hAnsi="Calibri"/>
        </w:rPr>
        <w:t>), a águia cobreira (</w:t>
      </w:r>
      <w:r>
        <w:rPr>
          <w:rFonts w:ascii="Calibri" w:hAnsi="Calibri"/>
          <w:i/>
          <w:iCs/>
        </w:rPr>
        <w:t>Circaetus gallicus</w:t>
      </w:r>
      <w:r>
        <w:rPr>
          <w:rFonts w:ascii="Calibri" w:hAnsi="Calibri"/>
        </w:rPr>
        <w:t>) ou a lebre (</w:t>
      </w:r>
      <w:r>
        <w:rPr>
          <w:rFonts w:ascii="Calibri" w:hAnsi="Calibri"/>
          <w:i/>
          <w:iCs/>
        </w:rPr>
        <w:t>Lepus granatensis</w:t>
      </w:r>
      <w:r>
        <w:rPr>
          <w:rFonts w:ascii="Calibri" w:hAnsi="Calibri"/>
        </w:rPr>
        <w:t xml:space="preserve"> subsp. </w:t>
      </w:r>
      <w:r>
        <w:rPr>
          <w:rFonts w:ascii="Calibri" w:hAnsi="Calibri"/>
          <w:i/>
          <w:iCs/>
        </w:rPr>
        <w:t>gallaecicus</w:t>
      </w:r>
      <w:r>
        <w:rPr>
          <w:rFonts w:ascii="Calibri" w:hAnsi="Calibri"/>
        </w:rPr>
        <w:t>), así como a parada e descanso regular neste espazo de aves migratorias de especial valor, protexidas pola Directiva 2009/147/CE - como poden ser a tarambola rubia (</w:t>
      </w:r>
      <w:r>
        <w:rPr>
          <w:rFonts w:ascii="Calibri" w:hAnsi="Calibri"/>
          <w:i/>
          <w:iCs/>
        </w:rPr>
        <w:t>Charadrius morinellus</w:t>
      </w:r>
      <w:r>
        <w:rPr>
          <w:rFonts w:ascii="Calibri" w:hAnsi="Calibri"/>
        </w:rPr>
        <w:t>) ou a tarambola dourada (</w:t>
      </w:r>
      <w:r>
        <w:rPr>
          <w:rFonts w:ascii="Calibri" w:hAnsi="Calibri"/>
          <w:i/>
          <w:iCs/>
        </w:rPr>
        <w:t>Pluvialis apricaria</w:t>
      </w:r>
      <w:r>
        <w:rPr>
          <w:rFonts w:ascii="Calibri" w:hAnsi="Calibri"/>
        </w:rPr>
        <w:t>) - dependen da conservación deste hábitat.</w:t>
      </w:r>
    </w:p>
    <w:p w14:paraId="05DAB366" w14:textId="77777777" w:rsidR="00AE5A25" w:rsidRDefault="00AE5A25" w:rsidP="00AE5A25">
      <w:pPr>
        <w:pStyle w:val="Standard"/>
        <w:spacing w:before="120"/>
        <w:jc w:val="both"/>
        <w:rPr>
          <w:rFonts w:ascii="Calibri" w:hAnsi="Calibri"/>
        </w:rPr>
      </w:pPr>
      <w:r>
        <w:rPr>
          <w:rFonts w:ascii="Calibri" w:hAnsi="Calibri"/>
        </w:rPr>
        <w:t xml:space="preserve">A afección á vexetación preevese </w:t>
      </w:r>
      <w:r w:rsidRPr="00815345">
        <w:rPr>
          <w:rFonts w:ascii="Calibri" w:hAnsi="Calibri"/>
          <w:b/>
        </w:rPr>
        <w:t>MOI SEVERA</w:t>
      </w:r>
      <w:r>
        <w:rPr>
          <w:rFonts w:ascii="Calibri" w:hAnsi="Calibri"/>
        </w:rPr>
        <w:t xml:space="preserve"> xa que tal e como se especifica no proxecto técnico, asuperficie desbrozada será de </w:t>
      </w:r>
      <w:r w:rsidRPr="00CA04EC">
        <w:rPr>
          <w:rFonts w:ascii="Calibri" w:hAnsi="Calibri"/>
        </w:rPr>
        <w:t>229.686,68</w:t>
      </w:r>
      <w:r w:rsidRPr="00CA04EC">
        <w:rPr>
          <w:b/>
          <w:color w:val="0000FF"/>
        </w:rPr>
        <w:t xml:space="preserve"> </w:t>
      </w:r>
      <w:r>
        <w:rPr>
          <w:rFonts w:ascii="Calibri" w:hAnsi="Calibri"/>
        </w:rPr>
        <w:t>m</w:t>
      </w:r>
      <w:r w:rsidRPr="00815345">
        <w:rPr>
          <w:rFonts w:ascii="Calibri" w:hAnsi="Calibri"/>
          <w:vertAlign w:val="superscript"/>
        </w:rPr>
        <w:t>2</w:t>
      </w:r>
      <w:r>
        <w:rPr>
          <w:rFonts w:ascii="Calibri" w:hAnsi="Calibri"/>
        </w:rPr>
        <w:t xml:space="preserve"> aos que haberá que sumar un radio de 100 m arredor de cada aeroxerador tal e como ecomenda o estudo de aves e quirópeteros co obxectivo de minimizar os impactos de morcegos en áreas forestais.</w:t>
      </w:r>
    </w:p>
    <w:p w14:paraId="6C948147" w14:textId="77777777" w:rsidR="005161D6" w:rsidRDefault="005161D6" w:rsidP="00AE5A25">
      <w:pPr>
        <w:pStyle w:val="Standard"/>
        <w:spacing w:before="120"/>
        <w:jc w:val="both"/>
      </w:pPr>
    </w:p>
    <w:p w14:paraId="3221124B" w14:textId="77777777" w:rsidR="00AE5A25" w:rsidRPr="003A3EF0" w:rsidRDefault="00AE5A25" w:rsidP="00AE5A25">
      <w:pPr>
        <w:pStyle w:val="Prrafodelista"/>
        <w:numPr>
          <w:ilvl w:val="0"/>
          <w:numId w:val="11"/>
        </w:numPr>
        <w:shd w:val="clear" w:color="auto" w:fill="D9E2F3"/>
        <w:spacing w:before="120"/>
        <w:ind w:left="1843" w:hanging="1843"/>
        <w:jc w:val="both"/>
        <w:outlineLvl w:val="0"/>
        <w:rPr>
          <w:b/>
          <w:sz w:val="24"/>
          <w:szCs w:val="24"/>
        </w:rPr>
      </w:pPr>
      <w:bookmarkStart w:id="402" w:name="_Hlk87742297"/>
      <w:bookmarkStart w:id="403" w:name="_Toc88004916"/>
      <w:bookmarkStart w:id="404" w:name="_Toc132511018"/>
      <w:bookmarkEnd w:id="401"/>
      <w:r w:rsidRPr="003A3EF0">
        <w:rPr>
          <w:b/>
          <w:sz w:val="24"/>
          <w:szCs w:val="24"/>
        </w:rPr>
        <w:t>Deficiente avaliación dos efectos sobre os recursos hídricos</w:t>
      </w:r>
      <w:bookmarkEnd w:id="402"/>
      <w:r w:rsidRPr="003A3EF0">
        <w:rPr>
          <w:b/>
          <w:sz w:val="24"/>
          <w:szCs w:val="24"/>
        </w:rPr>
        <w:t>.</w:t>
      </w:r>
      <w:bookmarkEnd w:id="403"/>
      <w:bookmarkEnd w:id="404"/>
    </w:p>
    <w:p w14:paraId="39C7909A" w14:textId="77777777" w:rsidR="00AE5A25" w:rsidRPr="00897C14" w:rsidRDefault="00AE5A25" w:rsidP="00AE5A25">
      <w:pPr>
        <w:spacing w:before="120" w:after="0" w:line="240" w:lineRule="auto"/>
        <w:jc w:val="both"/>
        <w:rPr>
          <w:sz w:val="24"/>
          <w:szCs w:val="24"/>
        </w:rPr>
      </w:pPr>
      <w:r w:rsidRPr="00897C14">
        <w:rPr>
          <w:sz w:val="24"/>
          <w:szCs w:val="24"/>
        </w:rPr>
        <w:t>Non se avalían convenientemente os efectos sobre os recursos hídricos nin se establece un axeitado plan de control da calidade das augas. Non existe un estudo hidrolóxico e hidroxeolóxico que permita avaliar convintemnte o efecto sobre as augas superficias e subterráneas.</w:t>
      </w:r>
    </w:p>
    <w:p w14:paraId="3803371E" w14:textId="77777777" w:rsidR="00AE5A25" w:rsidRPr="00897C14" w:rsidRDefault="00AE5A25" w:rsidP="00AE5A25">
      <w:pPr>
        <w:spacing w:before="120" w:after="0" w:line="240" w:lineRule="auto"/>
        <w:jc w:val="both"/>
        <w:rPr>
          <w:sz w:val="24"/>
          <w:szCs w:val="24"/>
        </w:rPr>
      </w:pPr>
      <w:r w:rsidRPr="00897C14">
        <w:rPr>
          <w:sz w:val="24"/>
          <w:szCs w:val="24"/>
        </w:rPr>
        <w:t xml:space="preserve">A Serra da Groba e de Argalo constitúen unha unidade medioambiental, xeolóxica, paisaxística, patrimonial e etnográfica única e singular nun enclave xeográfico caracterizado por unha gran </w:t>
      </w:r>
      <w:r w:rsidRPr="00897C14">
        <w:rPr>
          <w:sz w:val="24"/>
          <w:szCs w:val="24"/>
        </w:rPr>
        <w:lastRenderedPageBreak/>
        <w:t xml:space="preserve">presión antrópica que ofrece innumerables </w:t>
      </w:r>
      <w:r w:rsidRPr="00897C14">
        <w:rPr>
          <w:b/>
          <w:bCs/>
          <w:sz w:val="24"/>
          <w:szCs w:val="24"/>
        </w:rPr>
        <w:t>servizos ecosistémicos</w:t>
      </w:r>
      <w:r w:rsidRPr="00897C14">
        <w:rPr>
          <w:sz w:val="24"/>
          <w:szCs w:val="24"/>
        </w:rPr>
        <w:t xml:space="preserve"> que é necesario conservar e protexer. As poboacións dos concellos limítrofes dependen en gran medida dos recursos que ofrece esta Serra. Según datos do Instituto Galego de Estatística (IGE) en 2022 as poboacións de Tomiño, O Rosal, Oia e Baiona suman un total de 35.658 habitantes que na súa meirande parte abastécense de auga potable a partir dos aportes hídricos proceden da Serra da Groba e da Serra de Argalo, afectadas ambas polo PE </w:t>
      </w:r>
      <w:r>
        <w:rPr>
          <w:sz w:val="24"/>
          <w:szCs w:val="24"/>
        </w:rPr>
        <w:t>Torroña I</w:t>
      </w:r>
      <w:r w:rsidRPr="00897C14">
        <w:rPr>
          <w:sz w:val="24"/>
          <w:szCs w:val="24"/>
        </w:rPr>
        <w:t>.</w:t>
      </w:r>
    </w:p>
    <w:p w14:paraId="6E664533" w14:textId="77777777" w:rsidR="00AE5A25" w:rsidRPr="00897C14" w:rsidRDefault="00AE5A25" w:rsidP="00AE5A25">
      <w:pPr>
        <w:spacing w:before="120" w:after="0" w:line="240" w:lineRule="auto"/>
        <w:jc w:val="both"/>
        <w:rPr>
          <w:sz w:val="24"/>
          <w:szCs w:val="24"/>
        </w:rPr>
      </w:pPr>
      <w:r w:rsidRPr="00897C14">
        <w:rPr>
          <w:sz w:val="24"/>
          <w:szCs w:val="24"/>
        </w:rPr>
        <w:t xml:space="preserve">O EsIA do PE </w:t>
      </w:r>
      <w:r>
        <w:rPr>
          <w:sz w:val="24"/>
          <w:szCs w:val="24"/>
        </w:rPr>
        <w:t>Torroña I</w:t>
      </w:r>
      <w:r w:rsidRPr="00897C14">
        <w:rPr>
          <w:sz w:val="24"/>
          <w:szCs w:val="24"/>
        </w:rPr>
        <w:t xml:space="preserve"> só aborda de xeito parcial os posibles efectos sobre os cursos de auga superficiais e non se avalían os efectos sobre as augas subterráneas, especialmente no que atinxe ós efectos sobre a calidade e dispoñibilidade do recurso hídrico tanto para o abastecemento da poboación como para o mantemento do equilibrio hídrico dos ecosistemas.</w:t>
      </w:r>
    </w:p>
    <w:p w14:paraId="6479A46B" w14:textId="77777777" w:rsidR="00AE5A25" w:rsidRPr="00897C14" w:rsidRDefault="00AE5A25" w:rsidP="00AE5A25">
      <w:pPr>
        <w:autoSpaceDE w:val="0"/>
        <w:autoSpaceDN w:val="0"/>
        <w:adjustRightInd w:val="0"/>
        <w:spacing w:before="120" w:after="0" w:line="240" w:lineRule="auto"/>
        <w:jc w:val="both"/>
        <w:rPr>
          <w:sz w:val="24"/>
          <w:szCs w:val="24"/>
          <w:shd w:val="clear" w:color="auto" w:fill="FFFFFF"/>
          <w:lang w:eastAsia="es-ES"/>
        </w:rPr>
      </w:pPr>
      <w:r w:rsidRPr="00897C14">
        <w:rPr>
          <w:sz w:val="24"/>
          <w:szCs w:val="24"/>
        </w:rPr>
        <w:t>Debido á afección ó rexime hídrico ocasionada pola remoción de terras e voaduras para a construcción</w:t>
      </w:r>
      <w:r w:rsidRPr="00897C14">
        <w:rPr>
          <w:sz w:val="24"/>
          <w:szCs w:val="24"/>
          <w:shd w:val="clear" w:color="auto" w:fill="FFFFFF"/>
          <w:lang w:eastAsia="es-ES"/>
        </w:rPr>
        <w:t xml:space="preserve"> de viais, zanxas e cimentacións dos aeroxeradores, debería realizarse un estudo hidrolóxico das augas superficiais e un estudo hidroxeolóxico para as augas subterráneas. Non se realizaron </w:t>
      </w:r>
      <w:r w:rsidRPr="00897C14">
        <w:rPr>
          <w:b/>
          <w:bCs/>
          <w:sz w:val="24"/>
          <w:szCs w:val="24"/>
          <w:shd w:val="clear" w:color="auto" w:fill="FFFFFF"/>
          <w:lang w:eastAsia="es-ES"/>
        </w:rPr>
        <w:t>ESTUDOS HIDROLÓXICOS</w:t>
      </w:r>
      <w:r w:rsidRPr="00897C14">
        <w:rPr>
          <w:sz w:val="24"/>
          <w:szCs w:val="24"/>
          <w:shd w:val="clear" w:color="auto" w:fill="FFFFFF"/>
          <w:lang w:eastAsia="es-ES"/>
        </w:rPr>
        <w:t> en sistemas acuáticos, tanto  lóticos como  lénticos, mediante caracterizacións fluviais e das masas de auga (perfís de fluxo,  batimetrías, perfís verticais de O</w:t>
      </w:r>
      <w:r w:rsidRPr="00897C14">
        <w:rPr>
          <w:sz w:val="24"/>
          <w:szCs w:val="24"/>
          <w:shd w:val="clear" w:color="auto" w:fill="FFFFFF"/>
          <w:vertAlign w:val="subscript"/>
          <w:lang w:eastAsia="es-ES"/>
        </w:rPr>
        <w:t>2</w:t>
      </w:r>
      <w:r w:rsidRPr="00897C14">
        <w:rPr>
          <w:sz w:val="24"/>
          <w:szCs w:val="24"/>
          <w:shd w:val="clear" w:color="auto" w:fill="FFFFFF"/>
          <w:lang w:eastAsia="es-ES"/>
        </w:rPr>
        <w:t>,  Tª,  pH,  Turbidez,  clorofila, etc), así como cálculo de caudal ecolóxico, determinación de estado ecolóxico </w:t>
      </w:r>
      <w:r w:rsidRPr="00897C14">
        <w:rPr>
          <w:b/>
          <w:bCs/>
          <w:sz w:val="24"/>
          <w:szCs w:val="24"/>
          <w:u w:val="single"/>
          <w:shd w:val="clear" w:color="auto" w:fill="FFFFFF"/>
          <w:lang w:eastAsia="es-ES"/>
        </w:rPr>
        <w:t>segundo a Directiva Marco da auga (DMA),</w:t>
      </w:r>
      <w:r w:rsidRPr="00897C14">
        <w:rPr>
          <w:sz w:val="24"/>
          <w:szCs w:val="24"/>
          <w:shd w:val="clear" w:color="auto" w:fill="FFFFFF"/>
          <w:lang w:eastAsia="es-ES"/>
        </w:rPr>
        <w:t> estudo de comunidades biolóxicas, grao de  eutrofización, drenaxe aceda, presenza de contaminantes en auga, sedimento e  biota, entre outras moitas variables relacionadas (autorizacións e control de verteduras, cálculo de canon de verteduras e redución do mesmo, remediación de contaminación por hidrocarburos, metais pesados e outros, proxectos de restauración e actuacións de descontaminación se fose o caso, elaboración de plans de continxencia por contaminación accidental do medio acuático, xestión de recursos hídricos e asesoramento na planificación hidrolóxica, etc). En definitiva, trátase de dar cumprimento do establecido na Directiva 2000/60/CEE do Parlamento Europeo e do Consello, de 23 de outubro de 2000, pola que se establece un marco comunitario de actuación no ámbito da política de augas.</w:t>
      </w:r>
    </w:p>
    <w:p w14:paraId="29A5967B" w14:textId="77777777" w:rsidR="00AE5A25" w:rsidRPr="00897C14" w:rsidRDefault="00AE5A25" w:rsidP="00AE5A25">
      <w:pPr>
        <w:autoSpaceDE w:val="0"/>
        <w:autoSpaceDN w:val="0"/>
        <w:adjustRightInd w:val="0"/>
        <w:spacing w:before="120" w:after="0" w:line="240" w:lineRule="auto"/>
        <w:jc w:val="both"/>
        <w:rPr>
          <w:sz w:val="24"/>
          <w:szCs w:val="24"/>
          <w:shd w:val="clear" w:color="auto" w:fill="FFFFFF"/>
          <w:lang w:eastAsia="es-ES"/>
        </w:rPr>
      </w:pPr>
      <w:r w:rsidRPr="00897C14">
        <w:rPr>
          <w:sz w:val="24"/>
          <w:szCs w:val="24"/>
          <w:shd w:val="clear" w:color="auto" w:fill="FFFFFF"/>
          <w:lang w:eastAsia="es-ES"/>
        </w:rPr>
        <w:t xml:space="preserve">Ainda que o EsIA do PE </w:t>
      </w:r>
      <w:r>
        <w:rPr>
          <w:sz w:val="24"/>
          <w:szCs w:val="24"/>
          <w:shd w:val="clear" w:color="auto" w:fill="FFFFFF"/>
          <w:lang w:eastAsia="es-ES"/>
        </w:rPr>
        <w:t>Torroña I</w:t>
      </w:r>
      <w:r w:rsidRPr="00897C14">
        <w:rPr>
          <w:sz w:val="24"/>
          <w:szCs w:val="24"/>
          <w:shd w:val="clear" w:color="auto" w:fill="FFFFFF"/>
          <w:lang w:eastAsia="es-ES"/>
        </w:rPr>
        <w:t xml:space="preserve"> </w:t>
      </w:r>
      <w:r w:rsidRPr="00897C14">
        <w:rPr>
          <w:b/>
          <w:bCs/>
          <w:sz w:val="24"/>
          <w:szCs w:val="24"/>
          <w:shd w:val="clear" w:color="auto" w:fill="FFFFFF"/>
          <w:lang w:eastAsia="es-ES"/>
        </w:rPr>
        <w:t>non inclúe o cálculo dos volumes de materias removidos</w:t>
      </w:r>
      <w:r w:rsidRPr="00897C14">
        <w:rPr>
          <w:sz w:val="24"/>
          <w:szCs w:val="24"/>
          <w:shd w:val="clear" w:color="auto" w:fill="FFFFFF"/>
          <w:lang w:eastAsia="es-ES"/>
        </w:rPr>
        <w:t>, prevese que estes sexan de gran magnitude dadas as dimensión das superficies esplanadas polo que se fai necesario un estudo da conectividade fluvial, estudo de prevención de fenómenos hidrolóxicos extremos (inundacións, secas), estudo cartográfico de zonas inundables (cunca de achega fluvial, balance hídrico…). </w:t>
      </w:r>
    </w:p>
    <w:p w14:paraId="508ABEF4" w14:textId="77777777" w:rsidR="00AE5A25" w:rsidRPr="00897C14" w:rsidRDefault="00AE5A25" w:rsidP="00AE5A25">
      <w:pPr>
        <w:autoSpaceDE w:val="0"/>
        <w:autoSpaceDN w:val="0"/>
        <w:adjustRightInd w:val="0"/>
        <w:spacing w:before="120" w:after="0" w:line="240" w:lineRule="auto"/>
        <w:jc w:val="both"/>
        <w:rPr>
          <w:sz w:val="24"/>
          <w:szCs w:val="24"/>
          <w:shd w:val="clear" w:color="auto" w:fill="FFFFFF"/>
          <w:lang w:eastAsia="es-ES"/>
        </w:rPr>
      </w:pPr>
      <w:r w:rsidRPr="00897C14">
        <w:rPr>
          <w:sz w:val="24"/>
          <w:szCs w:val="24"/>
          <w:shd w:val="clear" w:color="auto" w:fill="FFFFFF"/>
          <w:lang w:eastAsia="es-ES"/>
        </w:rPr>
        <w:t>No que respecta aos </w:t>
      </w:r>
      <w:r w:rsidRPr="00897C14">
        <w:rPr>
          <w:b/>
          <w:bCs/>
          <w:sz w:val="24"/>
          <w:szCs w:val="24"/>
          <w:shd w:val="clear" w:color="auto" w:fill="FFFFFF"/>
          <w:lang w:eastAsia="es-ES"/>
        </w:rPr>
        <w:t>ESTUDOS HIDROXEOLÓXICOS,</w:t>
      </w:r>
      <w:r w:rsidRPr="00897C14">
        <w:rPr>
          <w:sz w:val="24"/>
          <w:szCs w:val="24"/>
          <w:shd w:val="clear" w:color="auto" w:fill="FFFFFF"/>
          <w:lang w:eastAsia="es-ES"/>
        </w:rPr>
        <w:t> deben avaliarse os recursos e reservas de auga subterránea, e deben realizarse modelos de comportamento hidrolóxico de cuncas, balances hídricos, puntos de auga, inventarios e caracterización de unidades hidroxeolóxicas, estudos e modelos hidroxeolóxicos, estudos de seguemento hidroxeolóxico de sondaxes, xestión de autorizacións de captación para abastecemento, estudos de control piezométrico de acuíferos, etc. </w:t>
      </w:r>
    </w:p>
    <w:p w14:paraId="75CC8169" w14:textId="77777777" w:rsidR="00AE5A25" w:rsidRPr="00897C14" w:rsidRDefault="00AE5A25" w:rsidP="00AE5A25">
      <w:pPr>
        <w:autoSpaceDE w:val="0"/>
        <w:autoSpaceDN w:val="0"/>
        <w:adjustRightInd w:val="0"/>
        <w:spacing w:before="120" w:after="0" w:line="240" w:lineRule="auto"/>
        <w:jc w:val="both"/>
        <w:rPr>
          <w:sz w:val="24"/>
          <w:szCs w:val="24"/>
          <w:shd w:val="clear" w:color="auto" w:fill="FFFFFF"/>
          <w:lang w:eastAsia="es-ES"/>
        </w:rPr>
      </w:pPr>
      <w:r w:rsidRPr="00897C14">
        <w:rPr>
          <w:sz w:val="24"/>
          <w:szCs w:val="24"/>
          <w:shd w:val="clear" w:color="auto" w:fill="FFFFFF"/>
          <w:lang w:eastAsia="es-ES"/>
        </w:rPr>
        <w:t xml:space="preserve">A importancia dunha correcta avaliación dos efectos sobre os recursos hídricos é de vital importancia neste tipo de proxectos tendo en conta ademáis o escenario de </w:t>
      </w:r>
      <w:r w:rsidRPr="00897C14">
        <w:rPr>
          <w:b/>
          <w:bCs/>
          <w:sz w:val="24"/>
          <w:szCs w:val="24"/>
          <w:shd w:val="clear" w:color="auto" w:fill="FFFFFF"/>
          <w:lang w:eastAsia="es-ES"/>
        </w:rPr>
        <w:t>cambio climático</w:t>
      </w:r>
      <w:r w:rsidRPr="00897C14">
        <w:rPr>
          <w:sz w:val="24"/>
          <w:szCs w:val="24"/>
          <w:shd w:val="clear" w:color="auto" w:fill="FFFFFF"/>
          <w:lang w:eastAsia="es-ES"/>
        </w:rPr>
        <w:t xml:space="preserve"> no que nos atopamos. Xa na actualidade as localidades que dependen dos recursos hídricos da Serra da Groba teñen problemas de abastecemento no verán motivados polos cada máis frecuentes eventos de sequía e agravados por un importante incremento da poboación estival asociada ás actividades turísticas das que depende en gran medida a economía local. Os estudos hidrolóxicos e hidroxeolóxicos deben contamplar ademáis amplos períodos de retorno que teñan en conta as predicións dos modelos climáticos nos diferentes escenarios.</w:t>
      </w:r>
    </w:p>
    <w:p w14:paraId="418D9321" w14:textId="77777777" w:rsidR="00AE5A25" w:rsidRPr="00897C14" w:rsidRDefault="00AE5A25" w:rsidP="00AE5A25">
      <w:pPr>
        <w:autoSpaceDE w:val="0"/>
        <w:autoSpaceDN w:val="0"/>
        <w:adjustRightInd w:val="0"/>
        <w:spacing w:before="120" w:after="0" w:line="240" w:lineRule="auto"/>
        <w:jc w:val="both"/>
        <w:rPr>
          <w:sz w:val="24"/>
          <w:szCs w:val="24"/>
          <w:shd w:val="clear" w:color="auto" w:fill="FFFFFF"/>
          <w:lang w:eastAsia="es-ES"/>
        </w:rPr>
      </w:pPr>
      <w:r w:rsidRPr="00897C14">
        <w:rPr>
          <w:sz w:val="24"/>
          <w:szCs w:val="24"/>
          <w:shd w:val="clear" w:color="auto" w:fill="FFFFFF"/>
          <w:lang w:eastAsia="es-ES"/>
        </w:rPr>
        <w:lastRenderedPageBreak/>
        <w:t xml:space="preserve">Non se establece un axeitado </w:t>
      </w:r>
      <w:r w:rsidRPr="00897C14">
        <w:rPr>
          <w:b/>
          <w:bCs/>
          <w:sz w:val="24"/>
          <w:szCs w:val="24"/>
          <w:shd w:val="clear" w:color="auto" w:fill="FFFFFF"/>
          <w:lang w:eastAsia="es-ES"/>
        </w:rPr>
        <w:t>plan de control da calidade das augas que teña en conta as zonas de risco identificadas</w:t>
      </w:r>
      <w:r w:rsidRPr="00897C14">
        <w:rPr>
          <w:sz w:val="24"/>
          <w:szCs w:val="24"/>
          <w:shd w:val="clear" w:color="auto" w:fill="FFFFFF"/>
          <w:lang w:eastAsia="es-ES"/>
        </w:rPr>
        <w:t xml:space="preserve"> que potencialmente poderían verse afectadas polas obras. </w:t>
      </w:r>
    </w:p>
    <w:p w14:paraId="51CC5DD3" w14:textId="11B98A80" w:rsidR="005161D6" w:rsidRPr="00897C14" w:rsidRDefault="00AE5A25" w:rsidP="005161D6">
      <w:pPr>
        <w:pBdr>
          <w:top w:val="single" w:sz="4" w:space="1" w:color="auto"/>
          <w:left w:val="single" w:sz="4" w:space="4" w:color="auto"/>
          <w:bottom w:val="single" w:sz="4" w:space="1" w:color="auto"/>
          <w:right w:val="single" w:sz="4" w:space="4" w:color="auto"/>
        </w:pBdr>
        <w:tabs>
          <w:tab w:val="right" w:pos="9639"/>
        </w:tabs>
        <w:autoSpaceDE w:val="0"/>
        <w:autoSpaceDN w:val="0"/>
        <w:adjustRightInd w:val="0"/>
        <w:spacing w:before="120" w:after="0" w:line="240" w:lineRule="auto"/>
        <w:jc w:val="both"/>
        <w:rPr>
          <w:sz w:val="24"/>
          <w:szCs w:val="24"/>
          <w:shd w:val="clear" w:color="auto" w:fill="FFFFFF"/>
          <w:lang w:eastAsia="es-ES"/>
        </w:rPr>
      </w:pPr>
      <w:r w:rsidRPr="00897C14">
        <w:rPr>
          <w:sz w:val="24"/>
          <w:szCs w:val="24"/>
          <w:shd w:val="clear" w:color="auto" w:fill="FFFFFF"/>
          <w:lang w:eastAsia="es-ES"/>
        </w:rPr>
        <w:t xml:space="preserve">Os efectos do PE </w:t>
      </w:r>
      <w:r>
        <w:rPr>
          <w:sz w:val="24"/>
          <w:szCs w:val="24"/>
          <w:shd w:val="clear" w:color="auto" w:fill="FFFFFF"/>
          <w:lang w:eastAsia="es-ES"/>
        </w:rPr>
        <w:t>Torroña I</w:t>
      </w:r>
      <w:r w:rsidRPr="00897C14">
        <w:rPr>
          <w:sz w:val="24"/>
          <w:szCs w:val="24"/>
          <w:shd w:val="clear" w:color="auto" w:fill="FFFFFF"/>
          <w:lang w:eastAsia="es-ES"/>
        </w:rPr>
        <w:t xml:space="preserve"> sobre os recursos hídricos serán </w:t>
      </w:r>
      <w:r w:rsidRPr="00897C14">
        <w:rPr>
          <w:b/>
          <w:bCs/>
          <w:sz w:val="24"/>
          <w:szCs w:val="24"/>
          <w:shd w:val="clear" w:color="auto" w:fill="FFFFFF"/>
          <w:lang w:eastAsia="es-ES"/>
        </w:rPr>
        <w:t>MOI SEVEROS</w:t>
      </w:r>
      <w:r w:rsidRPr="00897C14">
        <w:rPr>
          <w:sz w:val="24"/>
          <w:szCs w:val="24"/>
          <w:shd w:val="clear" w:color="auto" w:fill="FFFFFF"/>
          <w:lang w:eastAsia="es-ES"/>
        </w:rPr>
        <w:t>.</w:t>
      </w:r>
      <w:r w:rsidR="005161D6">
        <w:rPr>
          <w:sz w:val="24"/>
          <w:szCs w:val="24"/>
          <w:shd w:val="clear" w:color="auto" w:fill="FFFFFF"/>
          <w:lang w:eastAsia="es-ES"/>
        </w:rPr>
        <w:tab/>
      </w:r>
    </w:p>
    <w:p w14:paraId="3DCB53D4" w14:textId="77777777" w:rsidR="00AE5A25" w:rsidRPr="003A3EF0" w:rsidRDefault="00AE5A25" w:rsidP="00AE5A25">
      <w:pPr>
        <w:pStyle w:val="Prrafodelista"/>
        <w:numPr>
          <w:ilvl w:val="0"/>
          <w:numId w:val="11"/>
        </w:numPr>
        <w:shd w:val="clear" w:color="auto" w:fill="C6D9F1"/>
        <w:spacing w:before="120"/>
        <w:ind w:left="1843" w:hanging="1843"/>
        <w:jc w:val="both"/>
        <w:outlineLvl w:val="0"/>
        <w:rPr>
          <w:b/>
          <w:sz w:val="24"/>
          <w:szCs w:val="24"/>
        </w:rPr>
      </w:pPr>
      <w:bookmarkStart w:id="405" w:name="_Hlk87742320"/>
      <w:bookmarkStart w:id="406" w:name="_Toc88004917"/>
      <w:bookmarkStart w:id="407" w:name="_Toc132511019"/>
      <w:bookmarkStart w:id="408" w:name="_Hlk86491238"/>
      <w:r w:rsidRPr="003A3EF0">
        <w:rPr>
          <w:b/>
          <w:sz w:val="24"/>
          <w:szCs w:val="24"/>
        </w:rPr>
        <w:t xml:space="preserve">Deficiente avaliación </w:t>
      </w:r>
      <w:r>
        <w:rPr>
          <w:b/>
          <w:sz w:val="24"/>
          <w:szCs w:val="24"/>
        </w:rPr>
        <w:t>d</w:t>
      </w:r>
      <w:r w:rsidRPr="003A3EF0">
        <w:rPr>
          <w:b/>
          <w:sz w:val="24"/>
          <w:szCs w:val="24"/>
        </w:rPr>
        <w:t>os efectos ocasionados polo efecto de parpadeo</w:t>
      </w:r>
      <w:bookmarkEnd w:id="405"/>
      <w:r>
        <w:rPr>
          <w:b/>
          <w:sz w:val="24"/>
          <w:szCs w:val="24"/>
        </w:rPr>
        <w:t xml:space="preserve"> sobre a fauna</w:t>
      </w:r>
      <w:r w:rsidRPr="003A3EF0">
        <w:rPr>
          <w:b/>
          <w:sz w:val="24"/>
          <w:szCs w:val="24"/>
        </w:rPr>
        <w:t>.</w:t>
      </w:r>
      <w:bookmarkEnd w:id="406"/>
      <w:bookmarkEnd w:id="407"/>
    </w:p>
    <w:bookmarkEnd w:id="408"/>
    <w:p w14:paraId="3C5BC182" w14:textId="77777777" w:rsidR="00AE5A25" w:rsidRDefault="00AE5A25" w:rsidP="00AE5A25">
      <w:pPr>
        <w:autoSpaceDE w:val="0"/>
        <w:autoSpaceDN w:val="0"/>
        <w:adjustRightInd w:val="0"/>
        <w:spacing w:before="120" w:after="0" w:line="240" w:lineRule="auto"/>
        <w:jc w:val="both"/>
        <w:rPr>
          <w:sz w:val="24"/>
          <w:szCs w:val="24"/>
        </w:rPr>
      </w:pPr>
      <w:r>
        <w:rPr>
          <w:sz w:val="24"/>
          <w:szCs w:val="24"/>
        </w:rPr>
        <w:t>O estudo de parpadeo non avalía os efectos sobre a fauna local.</w:t>
      </w:r>
    </w:p>
    <w:p w14:paraId="268CD346" w14:textId="77777777" w:rsidR="005161D6" w:rsidRPr="00501ECF" w:rsidRDefault="005161D6" w:rsidP="00AE5A25">
      <w:pPr>
        <w:autoSpaceDE w:val="0"/>
        <w:autoSpaceDN w:val="0"/>
        <w:adjustRightInd w:val="0"/>
        <w:spacing w:before="120" w:after="0" w:line="240" w:lineRule="auto"/>
        <w:jc w:val="both"/>
        <w:rPr>
          <w:sz w:val="24"/>
          <w:szCs w:val="24"/>
        </w:rPr>
      </w:pPr>
    </w:p>
    <w:p w14:paraId="271B7BBC" w14:textId="77777777" w:rsidR="00AE5A25" w:rsidRPr="003A3EF0" w:rsidRDefault="00AE5A25" w:rsidP="00AE5A25">
      <w:pPr>
        <w:pStyle w:val="Prrafodelista"/>
        <w:numPr>
          <w:ilvl w:val="0"/>
          <w:numId w:val="11"/>
        </w:numPr>
        <w:shd w:val="clear" w:color="auto" w:fill="C6D9F1"/>
        <w:spacing w:before="120"/>
        <w:ind w:left="1843" w:hanging="1843"/>
        <w:jc w:val="both"/>
        <w:outlineLvl w:val="0"/>
        <w:rPr>
          <w:b/>
          <w:sz w:val="24"/>
          <w:szCs w:val="24"/>
        </w:rPr>
      </w:pPr>
      <w:bookmarkStart w:id="409" w:name="_Hlk87742342"/>
      <w:bookmarkStart w:id="410" w:name="_Toc88004918"/>
      <w:bookmarkStart w:id="411" w:name="_Toc132511020"/>
      <w:r w:rsidRPr="003A3EF0">
        <w:rPr>
          <w:b/>
          <w:sz w:val="24"/>
          <w:szCs w:val="24"/>
        </w:rPr>
        <w:t>Deficiente avaliación sobre os efectos do ruido na fase de construción</w:t>
      </w:r>
      <w:bookmarkEnd w:id="409"/>
      <w:r w:rsidRPr="003A3EF0">
        <w:rPr>
          <w:b/>
          <w:sz w:val="24"/>
          <w:szCs w:val="24"/>
        </w:rPr>
        <w:t>.</w:t>
      </w:r>
      <w:bookmarkEnd w:id="410"/>
      <w:bookmarkEnd w:id="411"/>
    </w:p>
    <w:p w14:paraId="6466972A" w14:textId="77777777" w:rsidR="00AE5A25" w:rsidRPr="00501ECF" w:rsidRDefault="00AE5A25" w:rsidP="00AE5A25">
      <w:pPr>
        <w:autoSpaceDE w:val="0"/>
        <w:autoSpaceDN w:val="0"/>
        <w:adjustRightInd w:val="0"/>
        <w:spacing w:before="120" w:after="0" w:line="240" w:lineRule="auto"/>
        <w:jc w:val="both"/>
        <w:rPr>
          <w:sz w:val="24"/>
          <w:szCs w:val="24"/>
          <w:shd w:val="clear" w:color="auto" w:fill="FFFFFF"/>
          <w:lang w:eastAsia="es-ES"/>
        </w:rPr>
      </w:pPr>
      <w:r w:rsidRPr="00501ECF">
        <w:rPr>
          <w:sz w:val="24"/>
          <w:szCs w:val="24"/>
          <w:shd w:val="clear" w:color="auto" w:fill="FFFFFF"/>
          <w:lang w:eastAsia="es-ES"/>
        </w:rPr>
        <w:t>A avaliación dos efectos do ruidos faise só en base ós niveis acústicos da maquinaria existente na obra e sobre o ruido producido polas turbinas durante a fase de funcionamento. Asimesmo só de analiza o efecto do ruido sobre as poboacións humanas e non sobre as especies animais. Vaise producir unha degradación CRITICA por ruído para a fauna de toda a Serra da Groba, con serio risco de colapso se se suman ós demais factores involucrados, aumento de presenza humana, coches, diminución de superficie habitable, etc.. No que respecta ao propio ruído, a fauna sufrirá os seguintes graves efectos:</w:t>
      </w:r>
    </w:p>
    <w:p w14:paraId="4EC2051E" w14:textId="77777777" w:rsidR="00AE5A25" w:rsidRPr="00501ECF" w:rsidRDefault="00AE5A25" w:rsidP="00AE5A25">
      <w:pPr>
        <w:autoSpaceDE w:val="0"/>
        <w:autoSpaceDN w:val="0"/>
        <w:adjustRightInd w:val="0"/>
        <w:spacing w:before="120" w:after="0" w:line="240" w:lineRule="auto"/>
        <w:jc w:val="both"/>
        <w:rPr>
          <w:sz w:val="24"/>
          <w:szCs w:val="24"/>
          <w:shd w:val="clear" w:color="auto" w:fill="FFFFFF"/>
          <w:lang w:eastAsia="es-ES"/>
        </w:rPr>
      </w:pPr>
      <w:r w:rsidRPr="00501ECF">
        <w:rPr>
          <w:sz w:val="24"/>
          <w:szCs w:val="24"/>
          <w:shd w:val="clear" w:color="auto" w:fill="FFFFFF"/>
          <w:lang w:eastAsia="es-ES"/>
        </w:rPr>
        <w:t>▪ Dificultade para a comunicación.</w:t>
      </w:r>
    </w:p>
    <w:p w14:paraId="044B2818" w14:textId="77777777" w:rsidR="00AE5A25" w:rsidRPr="00501ECF" w:rsidRDefault="00AE5A25" w:rsidP="00AE5A25">
      <w:pPr>
        <w:autoSpaceDE w:val="0"/>
        <w:autoSpaceDN w:val="0"/>
        <w:adjustRightInd w:val="0"/>
        <w:spacing w:before="120" w:after="0" w:line="240" w:lineRule="auto"/>
        <w:jc w:val="both"/>
        <w:rPr>
          <w:sz w:val="24"/>
          <w:szCs w:val="24"/>
          <w:shd w:val="clear" w:color="auto" w:fill="FFFFFF"/>
          <w:lang w:eastAsia="es-ES"/>
        </w:rPr>
      </w:pPr>
      <w:r w:rsidRPr="00501ECF">
        <w:rPr>
          <w:sz w:val="24"/>
          <w:szCs w:val="24"/>
          <w:shd w:val="clear" w:color="auto" w:fill="FFFFFF"/>
          <w:lang w:eastAsia="es-ES"/>
        </w:rPr>
        <w:t>▪ Dificultade para apareamento e cría.</w:t>
      </w:r>
    </w:p>
    <w:p w14:paraId="524DCC2D" w14:textId="77777777" w:rsidR="00AE5A25" w:rsidRPr="00501ECF" w:rsidRDefault="00AE5A25" w:rsidP="00AE5A25">
      <w:pPr>
        <w:autoSpaceDE w:val="0"/>
        <w:autoSpaceDN w:val="0"/>
        <w:adjustRightInd w:val="0"/>
        <w:spacing w:before="120" w:after="0" w:line="240" w:lineRule="auto"/>
        <w:jc w:val="both"/>
        <w:rPr>
          <w:sz w:val="24"/>
          <w:szCs w:val="24"/>
          <w:shd w:val="clear" w:color="auto" w:fill="FFFFFF"/>
          <w:lang w:eastAsia="es-ES"/>
        </w:rPr>
      </w:pPr>
      <w:r w:rsidRPr="00501ECF">
        <w:rPr>
          <w:sz w:val="24"/>
          <w:szCs w:val="24"/>
          <w:shd w:val="clear" w:color="auto" w:fill="FFFFFF"/>
          <w:lang w:eastAsia="es-ES"/>
        </w:rPr>
        <w:t>▪ Dificultade para a relación presa-depredador.</w:t>
      </w:r>
    </w:p>
    <w:p w14:paraId="0D9EC1AD" w14:textId="77777777" w:rsidR="00AE5A25" w:rsidRPr="00501ECF" w:rsidRDefault="00AE5A25" w:rsidP="00AE5A25">
      <w:pPr>
        <w:autoSpaceDE w:val="0"/>
        <w:autoSpaceDN w:val="0"/>
        <w:adjustRightInd w:val="0"/>
        <w:spacing w:before="120" w:after="0" w:line="240" w:lineRule="auto"/>
        <w:jc w:val="both"/>
        <w:rPr>
          <w:sz w:val="24"/>
          <w:szCs w:val="24"/>
          <w:shd w:val="clear" w:color="auto" w:fill="FFFFFF"/>
          <w:lang w:eastAsia="es-ES"/>
        </w:rPr>
      </w:pPr>
      <w:r w:rsidRPr="00501ECF">
        <w:rPr>
          <w:sz w:val="24"/>
          <w:szCs w:val="24"/>
          <w:shd w:val="clear" w:color="auto" w:fill="FFFFFF"/>
          <w:lang w:eastAsia="es-ES"/>
        </w:rPr>
        <w:t>▪ Dificultade para o descanso.</w:t>
      </w:r>
    </w:p>
    <w:p w14:paraId="1E78CFD5" w14:textId="77777777" w:rsidR="00AE5A25" w:rsidRDefault="00AE5A25" w:rsidP="00AE5A25">
      <w:pPr>
        <w:autoSpaceDE w:val="0"/>
        <w:autoSpaceDN w:val="0"/>
        <w:adjustRightInd w:val="0"/>
        <w:spacing w:before="120" w:after="0" w:line="240" w:lineRule="auto"/>
        <w:jc w:val="both"/>
        <w:rPr>
          <w:sz w:val="24"/>
          <w:szCs w:val="24"/>
          <w:shd w:val="clear" w:color="auto" w:fill="FFFFFF"/>
          <w:lang w:eastAsia="es-ES"/>
        </w:rPr>
      </w:pPr>
      <w:r w:rsidRPr="00501ECF">
        <w:rPr>
          <w:sz w:val="24"/>
          <w:szCs w:val="24"/>
          <w:shd w:val="clear" w:color="auto" w:fill="FFFFFF"/>
          <w:lang w:eastAsia="es-ES"/>
        </w:rPr>
        <w:t xml:space="preserve">Non se avalían os efectos das voaduras para a apertura das cementacións. Dada a natureza granítica do sustrato prevese a realización de voaduras para a apertura das cementacións dos aeroxeradores. Porén, non se inclúe no EsIA un </w:t>
      </w:r>
      <w:r w:rsidRPr="00501ECF">
        <w:rPr>
          <w:b/>
          <w:bCs/>
          <w:sz w:val="24"/>
          <w:szCs w:val="24"/>
          <w:shd w:val="clear" w:color="auto" w:fill="FFFFFF"/>
          <w:lang w:eastAsia="es-ES"/>
        </w:rPr>
        <w:t>estudo xeotécnico</w:t>
      </w:r>
      <w:r w:rsidRPr="00501ECF">
        <w:rPr>
          <w:sz w:val="24"/>
          <w:szCs w:val="24"/>
          <w:shd w:val="clear" w:color="auto" w:fill="FFFFFF"/>
          <w:lang w:eastAsia="es-ES"/>
        </w:rPr>
        <w:t>.</w:t>
      </w:r>
    </w:p>
    <w:p w14:paraId="5212072F" w14:textId="77777777" w:rsidR="004672E3" w:rsidRPr="00501ECF" w:rsidRDefault="004672E3" w:rsidP="00AE5A25">
      <w:pPr>
        <w:autoSpaceDE w:val="0"/>
        <w:autoSpaceDN w:val="0"/>
        <w:adjustRightInd w:val="0"/>
        <w:spacing w:before="120" w:after="0" w:line="240" w:lineRule="auto"/>
        <w:jc w:val="both"/>
        <w:rPr>
          <w:sz w:val="24"/>
          <w:szCs w:val="24"/>
          <w:shd w:val="clear" w:color="auto" w:fill="FFFFFF"/>
          <w:lang w:eastAsia="es-ES"/>
        </w:rPr>
      </w:pPr>
    </w:p>
    <w:p w14:paraId="1BC9EAE2" w14:textId="77777777" w:rsidR="00AE5A25" w:rsidRPr="003A3EF0" w:rsidRDefault="00AE5A25" w:rsidP="00AE5A25">
      <w:pPr>
        <w:pStyle w:val="Prrafodelista"/>
        <w:numPr>
          <w:ilvl w:val="0"/>
          <w:numId w:val="11"/>
        </w:numPr>
        <w:shd w:val="clear" w:color="auto" w:fill="D9E2F3"/>
        <w:spacing w:before="120"/>
        <w:ind w:left="1843" w:hanging="1843"/>
        <w:jc w:val="both"/>
        <w:outlineLvl w:val="0"/>
        <w:rPr>
          <w:b/>
          <w:sz w:val="24"/>
          <w:szCs w:val="24"/>
        </w:rPr>
      </w:pPr>
      <w:bookmarkStart w:id="412" w:name="_Toc88004924"/>
      <w:bookmarkStart w:id="413" w:name="_Toc132511021"/>
      <w:r w:rsidRPr="003A3EF0">
        <w:rPr>
          <w:b/>
          <w:sz w:val="24"/>
          <w:szCs w:val="24"/>
        </w:rPr>
        <w:t>Deficiente avaliación dos efectos derivados dos procesos de restauración e</w:t>
      </w:r>
      <w:r w:rsidRPr="003A3EF0">
        <w:rPr>
          <w:b/>
          <w:bCs/>
          <w:sz w:val="24"/>
          <w:szCs w:val="24"/>
        </w:rPr>
        <w:t xml:space="preserve"> </w:t>
      </w:r>
      <w:r w:rsidRPr="003A3EF0">
        <w:rPr>
          <w:b/>
          <w:sz w:val="24"/>
          <w:szCs w:val="24"/>
        </w:rPr>
        <w:t>revexetación.</w:t>
      </w:r>
      <w:bookmarkEnd w:id="412"/>
      <w:bookmarkEnd w:id="413"/>
    </w:p>
    <w:p w14:paraId="2C44A50A" w14:textId="77777777" w:rsidR="00AE5A25" w:rsidRPr="00501ECF" w:rsidRDefault="00AE5A25" w:rsidP="00AE5A25">
      <w:pPr>
        <w:pStyle w:val="Textosinformato"/>
        <w:spacing w:before="120"/>
        <w:jc w:val="both"/>
        <w:rPr>
          <w:rFonts w:ascii="Calibri" w:hAnsi="Calibri"/>
          <w:sz w:val="24"/>
          <w:szCs w:val="24"/>
        </w:rPr>
      </w:pPr>
      <w:r>
        <w:rPr>
          <w:rFonts w:ascii="Calibri" w:hAnsi="Calibri"/>
          <w:sz w:val="24"/>
          <w:szCs w:val="24"/>
        </w:rPr>
        <w:t>No plan de restauración (ANEXO J) non se concretan adecuadamente as medidas de restauración e revexetación nin se especifica</w:t>
      </w:r>
      <w:r w:rsidRPr="00501ECF">
        <w:rPr>
          <w:rFonts w:ascii="Calibri" w:hAnsi="Calibri"/>
          <w:sz w:val="24"/>
          <w:szCs w:val="24"/>
        </w:rPr>
        <w:t xml:space="preserve"> </w:t>
      </w:r>
      <w:r>
        <w:rPr>
          <w:rFonts w:ascii="Calibri" w:hAnsi="Calibri"/>
          <w:sz w:val="24"/>
          <w:szCs w:val="24"/>
        </w:rPr>
        <w:t>a procedencia d</w:t>
      </w:r>
      <w:r w:rsidRPr="00501ECF">
        <w:rPr>
          <w:rFonts w:ascii="Calibri" w:hAnsi="Calibri"/>
          <w:sz w:val="24"/>
          <w:szCs w:val="24"/>
        </w:rPr>
        <w:t>as especies que se empregarán para a restauración e revexetación das superficies alteradas e deterioradas pola execución das obras.</w:t>
      </w:r>
      <w:r>
        <w:rPr>
          <w:rFonts w:ascii="Calibri" w:hAnsi="Calibri"/>
          <w:sz w:val="24"/>
          <w:szCs w:val="24"/>
        </w:rPr>
        <w:t xml:space="preserve"> Por outra parte o plan de restauración emitiuse con data de xuño de 2020 e o estudo de hábitats emitíuse con data de xullo de 2021, esta incoherente temporalización dos traballos determina que o plan de restauración non contemple a totalidade de hábitats e especies vexetais caracterizadas na área de influencia do PE.</w:t>
      </w:r>
    </w:p>
    <w:p w14:paraId="607C284E" w14:textId="77777777" w:rsidR="00AE5A25" w:rsidRPr="00501ECF" w:rsidRDefault="00AE5A25" w:rsidP="00AE5A25">
      <w:pPr>
        <w:pStyle w:val="Textosinformato"/>
        <w:spacing w:before="120"/>
        <w:jc w:val="both"/>
        <w:rPr>
          <w:rFonts w:ascii="Calibri" w:hAnsi="Calibri"/>
          <w:sz w:val="24"/>
          <w:szCs w:val="24"/>
        </w:rPr>
      </w:pPr>
      <w:r w:rsidRPr="00501ECF">
        <w:rPr>
          <w:rFonts w:ascii="Calibri" w:hAnsi="Calibri"/>
          <w:sz w:val="24"/>
          <w:szCs w:val="24"/>
        </w:rPr>
        <w:t>Debido á presencia de hábitats e especies de interés comunitario así como de especies catalogadas como VULNERABLES no Catálogo Galego de Especies Ameazadas, débese garantir o mantemento do equilibrio ecolóxico. A introducción de especies alóctonas xenerará fenómenos de competencia coa vexetación autóctona que pode resultar perxudicada. Por outra banda, é importante manter os ecotipos propios do lugar. Nos catálogos de sementes estatais ou comunitarios que proporciona o Ministerio de Agricultura, Pesca e Alimentación non xisten sementes de moitas das especies vexetais propias dos hábitats de interés comunitario que se verán afectados.</w:t>
      </w:r>
    </w:p>
    <w:p w14:paraId="1623109B" w14:textId="77777777" w:rsidR="00AE5A25" w:rsidRPr="00501ECF" w:rsidRDefault="00AE5A25" w:rsidP="00AE5A25">
      <w:pPr>
        <w:pStyle w:val="Textosinformato"/>
        <w:pBdr>
          <w:top w:val="single" w:sz="4" w:space="1" w:color="auto"/>
          <w:left w:val="single" w:sz="4" w:space="4" w:color="auto"/>
          <w:bottom w:val="single" w:sz="4" w:space="1" w:color="auto"/>
          <w:right w:val="single" w:sz="4" w:space="4" w:color="auto"/>
        </w:pBdr>
        <w:spacing w:before="120"/>
        <w:jc w:val="both"/>
        <w:rPr>
          <w:rFonts w:ascii="Calibri" w:hAnsi="Calibri"/>
          <w:sz w:val="24"/>
          <w:szCs w:val="24"/>
        </w:rPr>
      </w:pPr>
      <w:r w:rsidRPr="00501ECF">
        <w:rPr>
          <w:rFonts w:ascii="Calibri" w:hAnsi="Calibri"/>
          <w:sz w:val="24"/>
          <w:szCs w:val="24"/>
        </w:rPr>
        <w:lastRenderedPageBreak/>
        <w:t>Para evitar o impacto no equilibrio ecolóxico é necesario rexenerar e revexetar as superficies degradadas e alteradas con plantas propias do entorno onde se realizan os traballos.</w:t>
      </w:r>
    </w:p>
    <w:p w14:paraId="5A40BCBC" w14:textId="77777777" w:rsidR="00AE5A25" w:rsidRPr="00501ECF" w:rsidRDefault="00AE5A25" w:rsidP="00AE5A25">
      <w:pPr>
        <w:pStyle w:val="Textosinformato"/>
        <w:spacing w:before="120"/>
        <w:jc w:val="both"/>
        <w:rPr>
          <w:rFonts w:ascii="Calibri" w:hAnsi="Calibri"/>
          <w:sz w:val="24"/>
          <w:szCs w:val="24"/>
        </w:rPr>
      </w:pPr>
      <w:r w:rsidRPr="00501ECF">
        <w:rPr>
          <w:rFonts w:ascii="Calibri" w:hAnsi="Calibri"/>
          <w:b/>
          <w:bCs/>
          <w:sz w:val="24"/>
          <w:szCs w:val="24"/>
        </w:rPr>
        <w:t>Vulnéranse ademáis os obxectivos de calidade paisaxística (OCP) para as unidades de paisaxe con tipos de paisaxe: matogueira e rochedo ou turbeira e brzal húmido en serras</w:t>
      </w:r>
      <w:r w:rsidRPr="00501ECF">
        <w:rPr>
          <w:rFonts w:ascii="Calibri" w:hAnsi="Calibri"/>
          <w:sz w:val="24"/>
          <w:szCs w:val="24"/>
        </w:rPr>
        <w:t>, recollidos no ANEXO I do DECRETO 238/2020 polo que se aproban as Directrices da paisaxe de Galicia:</w:t>
      </w:r>
    </w:p>
    <w:p w14:paraId="00955B82" w14:textId="77777777" w:rsidR="00AE5A25" w:rsidRPr="00C771C8" w:rsidRDefault="00AE5A25" w:rsidP="00AE5A25">
      <w:pPr>
        <w:pStyle w:val="Textosinformato"/>
        <w:spacing w:before="120"/>
        <w:ind w:left="540" w:right="566"/>
        <w:jc w:val="both"/>
        <w:rPr>
          <w:rFonts w:ascii="Calibri" w:hAnsi="Calibri"/>
          <w:i/>
          <w:iCs/>
          <w:sz w:val="22"/>
          <w:szCs w:val="22"/>
        </w:rPr>
      </w:pPr>
      <w:r w:rsidRPr="00C771C8">
        <w:rPr>
          <w:rFonts w:ascii="Calibri" w:hAnsi="Calibri"/>
          <w:i/>
          <w:iCs/>
          <w:sz w:val="22"/>
          <w:szCs w:val="22"/>
        </w:rPr>
        <w:t>Unidades de paisaje con tipos de paisaje: matorral y roquedo o turbera y brezal húmedo en sierras.</w:t>
      </w:r>
    </w:p>
    <w:p w14:paraId="7CE42A38" w14:textId="77777777" w:rsidR="00AE5A25" w:rsidRPr="00C771C8" w:rsidRDefault="00AE5A25" w:rsidP="00AE5A25">
      <w:pPr>
        <w:pStyle w:val="Textosinformato"/>
        <w:spacing w:before="120"/>
        <w:ind w:left="540" w:right="566"/>
        <w:jc w:val="both"/>
        <w:rPr>
          <w:rFonts w:ascii="Calibri" w:hAnsi="Calibri"/>
          <w:i/>
          <w:iCs/>
          <w:sz w:val="22"/>
          <w:szCs w:val="22"/>
        </w:rPr>
      </w:pPr>
      <w:r w:rsidRPr="00C771C8">
        <w:rPr>
          <w:rFonts w:ascii="Calibri" w:hAnsi="Calibri"/>
          <w:i/>
          <w:iCs/>
          <w:sz w:val="22"/>
          <w:szCs w:val="22"/>
        </w:rPr>
        <w:t>2C_3_1. Unos matorrales, roquedos y turberas en las sierras bien estructuradas ecológicamente, resilientes, sin procesos erosivos y que conserven la morfología y vegetación propia de su medio ambiente, sin presencia de especies alóctonas e invasoras. Unos ámbitos naturales que compatibilicen su función ecológica con el mantenimiento de sus valores estéticos y productivos frente a las principales amenazas de este tipo de paisaje: abandono, incendios, erosión y especies invasoras.</w:t>
      </w:r>
    </w:p>
    <w:p w14:paraId="583495B0" w14:textId="77777777" w:rsidR="00AE5A25" w:rsidRPr="00501ECF" w:rsidRDefault="00AE5A25" w:rsidP="00AE5A25">
      <w:pPr>
        <w:pStyle w:val="Textosinformato"/>
        <w:spacing w:before="120"/>
        <w:jc w:val="both"/>
        <w:rPr>
          <w:rFonts w:ascii="Calibri" w:hAnsi="Calibri"/>
          <w:sz w:val="24"/>
          <w:szCs w:val="24"/>
        </w:rPr>
      </w:pPr>
      <w:r w:rsidRPr="00501ECF">
        <w:rPr>
          <w:rFonts w:ascii="Calibri" w:hAnsi="Calibri"/>
          <w:b/>
          <w:bCs/>
          <w:sz w:val="24"/>
          <w:szCs w:val="24"/>
        </w:rPr>
        <w:t>Tamén se vulneran as Normas e recomendación recolidas no ANEXO IV do DECRETO 238/2020 polo que se aproban as Directrices de paisaxe de Galicia que no apartado 4.2.4.3 Parques eólicos</w:t>
      </w:r>
      <w:r w:rsidRPr="00501ECF">
        <w:rPr>
          <w:rFonts w:ascii="Calibri" w:hAnsi="Calibri"/>
          <w:sz w:val="24"/>
          <w:szCs w:val="24"/>
        </w:rPr>
        <w:t xml:space="preserve"> establece:</w:t>
      </w:r>
    </w:p>
    <w:p w14:paraId="745F632A" w14:textId="77777777" w:rsidR="00AE5A25" w:rsidRPr="00C771C8" w:rsidRDefault="00AE5A25" w:rsidP="00AE5A25">
      <w:pPr>
        <w:pStyle w:val="Textosinformato"/>
        <w:spacing w:before="120"/>
        <w:ind w:left="540" w:right="566"/>
        <w:jc w:val="both"/>
        <w:rPr>
          <w:rFonts w:ascii="Calibri" w:hAnsi="Calibri"/>
          <w:i/>
          <w:iCs/>
          <w:sz w:val="22"/>
          <w:szCs w:val="22"/>
        </w:rPr>
      </w:pPr>
      <w:r w:rsidRPr="00C771C8">
        <w:rPr>
          <w:rFonts w:ascii="Calibri" w:hAnsi="Calibri"/>
          <w:i/>
          <w:iCs/>
          <w:sz w:val="22"/>
          <w:szCs w:val="22"/>
        </w:rPr>
        <w:t xml:space="preserve">i) (N) Debe minimizarse la eliminación de cobertura vegetal. </w:t>
      </w:r>
      <w:r w:rsidRPr="00C771C8">
        <w:rPr>
          <w:rFonts w:ascii="Calibri" w:hAnsi="Calibri"/>
          <w:b/>
          <w:bCs/>
          <w:i/>
          <w:iCs/>
          <w:sz w:val="22"/>
          <w:szCs w:val="22"/>
        </w:rPr>
        <w:t>Cualquier plantación que se efectúe para naturalizar taludes, formar setos, recuperar coberturas de caminos o plataformas, debe realizarse con especies arbóreas, arbustivas y herbáceas propias del lugar</w:t>
      </w:r>
      <w:r w:rsidRPr="00C771C8">
        <w:rPr>
          <w:rFonts w:ascii="Calibri" w:hAnsi="Calibri"/>
          <w:i/>
          <w:iCs/>
          <w:sz w:val="22"/>
          <w:szCs w:val="22"/>
        </w:rPr>
        <w:t>, disponiéndolas de un modo semejante al natural.</w:t>
      </w:r>
    </w:p>
    <w:p w14:paraId="0A6C477C" w14:textId="77777777" w:rsidR="00AE5A25" w:rsidRPr="00501ECF" w:rsidRDefault="00AE5A25" w:rsidP="00AE5A25">
      <w:pPr>
        <w:pStyle w:val="Textosinformato"/>
        <w:spacing w:before="120"/>
        <w:jc w:val="both"/>
        <w:rPr>
          <w:rFonts w:ascii="Calibri" w:hAnsi="Calibri"/>
          <w:sz w:val="24"/>
          <w:szCs w:val="24"/>
        </w:rPr>
      </w:pPr>
      <w:r w:rsidRPr="00501ECF">
        <w:rPr>
          <w:rFonts w:ascii="Calibri" w:hAnsi="Calibri"/>
          <w:sz w:val="24"/>
          <w:szCs w:val="24"/>
        </w:rPr>
        <w:t>Por outra banda, entre os criterios de selección das especies que se empregarán no proceso de restauración e revexetación inclúense os factores edáficos asegurando que estes factores influen dunha maneira directa e condicionan o tipo de solo que se atopa na zona, marcando as condición que influirán no desenvovlemento da vexetación.</w:t>
      </w:r>
    </w:p>
    <w:p w14:paraId="76FF11DF" w14:textId="77777777" w:rsidR="00AE5A25" w:rsidRPr="00501ECF" w:rsidRDefault="00AE5A25" w:rsidP="00AE5A25">
      <w:pPr>
        <w:pStyle w:val="Textosinformato"/>
        <w:pBdr>
          <w:top w:val="single" w:sz="4" w:space="1" w:color="auto"/>
          <w:left w:val="single" w:sz="4" w:space="4" w:color="auto"/>
          <w:bottom w:val="single" w:sz="4" w:space="1" w:color="auto"/>
          <w:right w:val="single" w:sz="4" w:space="4" w:color="auto"/>
        </w:pBdr>
        <w:spacing w:before="120"/>
        <w:jc w:val="both"/>
        <w:rPr>
          <w:rFonts w:ascii="Calibri" w:hAnsi="Calibri"/>
          <w:sz w:val="24"/>
          <w:szCs w:val="24"/>
        </w:rPr>
      </w:pPr>
      <w:r w:rsidRPr="00501ECF">
        <w:rPr>
          <w:rFonts w:ascii="Calibri" w:hAnsi="Calibri"/>
          <w:sz w:val="24"/>
          <w:szCs w:val="24"/>
        </w:rPr>
        <w:t xml:space="preserve">En ningún caso se fixo un estudo edáfico nin unha caracterización </w:t>
      </w:r>
      <w:r w:rsidRPr="00501ECF">
        <w:rPr>
          <w:rFonts w:ascii="Calibri" w:hAnsi="Calibri"/>
          <w:i/>
          <w:iCs/>
          <w:sz w:val="24"/>
          <w:szCs w:val="24"/>
        </w:rPr>
        <w:t>in situ</w:t>
      </w:r>
      <w:r w:rsidRPr="00501ECF">
        <w:rPr>
          <w:rFonts w:ascii="Calibri" w:hAnsi="Calibri"/>
          <w:sz w:val="24"/>
          <w:szCs w:val="24"/>
        </w:rPr>
        <w:t xml:space="preserve"> dos solos afectados e obxecto de rexeneración. </w:t>
      </w:r>
    </w:p>
    <w:p w14:paraId="325D9033" w14:textId="77777777" w:rsidR="00AE5A25" w:rsidRPr="003A3EF0" w:rsidRDefault="00AE5A25" w:rsidP="00AE5A25">
      <w:pPr>
        <w:pStyle w:val="Prrafodelista"/>
        <w:numPr>
          <w:ilvl w:val="0"/>
          <w:numId w:val="11"/>
        </w:numPr>
        <w:shd w:val="clear" w:color="auto" w:fill="C6D9F1"/>
        <w:spacing w:before="120"/>
        <w:ind w:left="1843" w:hanging="1843"/>
        <w:jc w:val="both"/>
        <w:outlineLvl w:val="0"/>
        <w:rPr>
          <w:b/>
          <w:sz w:val="24"/>
          <w:szCs w:val="24"/>
        </w:rPr>
      </w:pPr>
      <w:bookmarkStart w:id="414" w:name="_Toc88004926"/>
      <w:bookmarkStart w:id="415" w:name="_Toc132511022"/>
      <w:r w:rsidRPr="003A3EF0">
        <w:rPr>
          <w:b/>
          <w:sz w:val="24"/>
          <w:szCs w:val="24"/>
        </w:rPr>
        <w:t>Deficiente avaliación dos efectos derivados da eliminación dos aeroxeradores na fase de desmantelamento.</w:t>
      </w:r>
      <w:bookmarkEnd w:id="414"/>
      <w:bookmarkEnd w:id="415"/>
    </w:p>
    <w:p w14:paraId="4A71B57D" w14:textId="77777777" w:rsidR="00AE5A25" w:rsidRPr="00501ECF" w:rsidRDefault="00AE5A25" w:rsidP="00AE5A25">
      <w:pPr>
        <w:pStyle w:val="Textosinformato"/>
        <w:spacing w:before="120"/>
        <w:jc w:val="both"/>
        <w:rPr>
          <w:rFonts w:ascii="Calibri" w:hAnsi="Calibri"/>
          <w:sz w:val="24"/>
          <w:szCs w:val="24"/>
        </w:rPr>
      </w:pPr>
      <w:r w:rsidRPr="00501ECF">
        <w:rPr>
          <w:rFonts w:ascii="Calibri" w:hAnsi="Calibri"/>
          <w:sz w:val="24"/>
          <w:szCs w:val="24"/>
        </w:rPr>
        <w:t>Existe un acordo unánime en canto ás dificultades que supón a eliminación das pás dos aeroxeradores cando estes acadan o final da súa vida útil. Os materiais sintéticos que as compoñen fan imposible a súa reciclaxe e tan só nunha prácticamente despreciable porcentaxe destas poden reutilizarse. O habitual é que estas pás acaben soterradas en vertedoiros ó aire libre. Ademáis, no seu desmantelamento e para facilitar o seu transporte, estas pás fragméntanse empregando serras mecánicas o que conleva a emisión de grandes cantidades de micropartículas de resinas e polímeros sintéticos que quedan no medio natural sin que se coñeza o potencial efecto sobre os ecosistemas e mesmo sobre a saúde humana.</w:t>
      </w:r>
    </w:p>
    <w:p w14:paraId="074C68C3" w14:textId="77777777" w:rsidR="00AE5A25" w:rsidRPr="00501ECF" w:rsidRDefault="00AE5A25" w:rsidP="00AE5A25">
      <w:pPr>
        <w:pStyle w:val="Textosinformato"/>
        <w:spacing w:before="120"/>
        <w:jc w:val="both"/>
        <w:rPr>
          <w:rFonts w:ascii="Calibri" w:hAnsi="Calibri"/>
          <w:sz w:val="24"/>
          <w:szCs w:val="24"/>
        </w:rPr>
      </w:pPr>
      <w:r w:rsidRPr="00501ECF">
        <w:rPr>
          <w:rFonts w:ascii="Calibri" w:hAnsi="Calibri"/>
          <w:sz w:val="24"/>
          <w:szCs w:val="24"/>
        </w:rPr>
        <w:t>En Galicia no ano 2019 o número de aeroxeradores era de 4.026, moitos deles a piques de rematar a súa vida útil polo que nos enfrontamos a un inminente problema mediomabiental que a día de hoxe non ten unha solución satisfactoria.</w:t>
      </w:r>
    </w:p>
    <w:p w14:paraId="195BA6FB" w14:textId="77777777" w:rsidR="00AE5A25" w:rsidRPr="00501ECF" w:rsidRDefault="00AE5A25" w:rsidP="00AE5A25">
      <w:pPr>
        <w:pStyle w:val="Textosinformato"/>
        <w:pBdr>
          <w:top w:val="single" w:sz="4" w:space="1" w:color="auto"/>
          <w:left w:val="single" w:sz="4" w:space="4" w:color="auto"/>
          <w:bottom w:val="single" w:sz="4" w:space="1" w:color="auto"/>
          <w:right w:val="single" w:sz="4" w:space="4" w:color="auto"/>
        </w:pBdr>
        <w:spacing w:before="120"/>
        <w:jc w:val="both"/>
        <w:rPr>
          <w:rFonts w:ascii="Calibri" w:hAnsi="Calibri"/>
          <w:sz w:val="24"/>
          <w:szCs w:val="24"/>
        </w:rPr>
      </w:pPr>
      <w:r w:rsidRPr="00501ECF">
        <w:rPr>
          <w:rFonts w:ascii="Calibri" w:hAnsi="Calibri"/>
          <w:sz w:val="24"/>
          <w:szCs w:val="24"/>
        </w:rPr>
        <w:t>Os efectos ambientais da eliminación das pás na fase de desmantelamento debe avaliarse convintemente e en calquera caso debe evitarse a emisión de micropartículas de resinas e polímeros sintéticos ó medio natural.</w:t>
      </w:r>
    </w:p>
    <w:p w14:paraId="6C21B01E" w14:textId="77777777" w:rsidR="00AE5A25" w:rsidRPr="00673B34" w:rsidRDefault="00AE5A25" w:rsidP="00AE5A25">
      <w:pPr>
        <w:pStyle w:val="Prrafodelista"/>
        <w:numPr>
          <w:ilvl w:val="0"/>
          <w:numId w:val="11"/>
        </w:numPr>
        <w:shd w:val="clear" w:color="auto" w:fill="C6D9F1"/>
        <w:spacing w:before="120"/>
        <w:ind w:left="1843" w:hanging="1843"/>
        <w:jc w:val="both"/>
        <w:outlineLvl w:val="0"/>
        <w:rPr>
          <w:b/>
          <w:sz w:val="24"/>
          <w:szCs w:val="24"/>
        </w:rPr>
      </w:pPr>
      <w:bookmarkStart w:id="416" w:name="_Hlk87742612"/>
      <w:bookmarkStart w:id="417" w:name="_Toc88004927"/>
      <w:bookmarkStart w:id="418" w:name="_Toc132511023"/>
      <w:bookmarkStart w:id="419" w:name="_Hlk91614553"/>
      <w:r w:rsidRPr="00673B34">
        <w:rPr>
          <w:b/>
          <w:sz w:val="24"/>
          <w:szCs w:val="24"/>
        </w:rPr>
        <w:lastRenderedPageBreak/>
        <w:t>Vulneración do artigo 11 da Lei 7/2008 do 7 de xullo, de protección da paisaxe de Galicia. Afección sobre a calidade paisaxística e sobre o tecido socieconómico</w:t>
      </w:r>
      <w:bookmarkEnd w:id="416"/>
      <w:bookmarkEnd w:id="417"/>
      <w:bookmarkEnd w:id="418"/>
    </w:p>
    <w:p w14:paraId="46131310" w14:textId="77777777" w:rsidR="00B02B0E" w:rsidRPr="00B02B0E" w:rsidRDefault="00B02B0E" w:rsidP="00B02B0E">
      <w:pPr>
        <w:spacing w:before="120" w:after="0" w:line="240" w:lineRule="auto"/>
        <w:jc w:val="both"/>
        <w:rPr>
          <w:rFonts w:eastAsia="Times New Roman" w:cs="Courier New"/>
          <w:sz w:val="24"/>
          <w:szCs w:val="24"/>
          <w:lang w:eastAsia="es-ES"/>
        </w:rPr>
      </w:pPr>
      <w:bookmarkStart w:id="420" w:name="_Hlk91614919"/>
      <w:bookmarkStart w:id="421" w:name="_Toc88001297"/>
      <w:bookmarkStart w:id="422" w:name="_Toc88004928"/>
      <w:bookmarkStart w:id="423" w:name="_Toc132511024"/>
      <w:bookmarkStart w:id="424" w:name="_Hlk91618302"/>
      <w:bookmarkStart w:id="425" w:name="_Hlk87742637"/>
      <w:bookmarkEnd w:id="419"/>
      <w:r w:rsidRPr="00B02B0E">
        <w:rPr>
          <w:rFonts w:eastAsia="Times New Roman" w:cs="Courier New"/>
          <w:sz w:val="24"/>
          <w:szCs w:val="24"/>
          <w:lang w:eastAsia="es-ES"/>
        </w:rPr>
        <w:t xml:space="preserve">Hoxe en día, nos países desenvolvidos existe unha conciencia xeneralizada da necesidade de preservar determinados espazos das inercias transformadoras. Esta demanda social, incardinada no fenómeno contemporáneo da toma de conciencia ambiental, permitiu que a paisaxe se convirta nun dereito, en parte do interese xeral como elemento significativo da vida cotiá e do benestar da poboación. </w:t>
      </w:r>
    </w:p>
    <w:p w14:paraId="64CF37BC" w14:textId="77777777" w:rsidR="00B02B0E" w:rsidRPr="00B02B0E" w:rsidRDefault="00B02B0E" w:rsidP="00B02B0E">
      <w:pPr>
        <w:spacing w:before="120" w:after="0" w:line="240" w:lineRule="auto"/>
        <w:jc w:val="both"/>
        <w:rPr>
          <w:rFonts w:eastAsia="Times New Roman" w:cs="Courier New"/>
          <w:sz w:val="24"/>
          <w:szCs w:val="24"/>
          <w:lang w:eastAsia="es-ES"/>
        </w:rPr>
      </w:pPr>
      <w:r w:rsidRPr="00B02B0E">
        <w:rPr>
          <w:rFonts w:eastAsia="Times New Roman" w:cs="Courier New"/>
          <w:sz w:val="24"/>
          <w:szCs w:val="24"/>
          <w:lang w:eastAsia="es-ES"/>
        </w:rPr>
        <w:t xml:space="preserve">Os concellos de Nigrán, Baiona, Gondomar, Tomiño, O Rosal, Oia e A Guarda rexeitaron en sendas sesións plenarias a construcción de parques eólicos na Serra da Groba entre outros motivos, pola grave degradación da paisaxe. </w:t>
      </w:r>
    </w:p>
    <w:p w14:paraId="7C9A08DA" w14:textId="77777777" w:rsidR="00B02B0E" w:rsidRPr="00B02B0E" w:rsidRDefault="00B02B0E" w:rsidP="00B02B0E">
      <w:pPr>
        <w:spacing w:before="120" w:after="0" w:line="240" w:lineRule="auto"/>
        <w:jc w:val="both"/>
        <w:rPr>
          <w:rFonts w:eastAsia="Times New Roman" w:cs="Courier New"/>
          <w:sz w:val="24"/>
          <w:szCs w:val="24"/>
          <w:lang w:eastAsia="es-ES"/>
        </w:rPr>
      </w:pPr>
      <w:r w:rsidRPr="00B02B0E">
        <w:rPr>
          <w:rFonts w:eastAsia="Times New Roman" w:cs="Courier New"/>
          <w:sz w:val="24"/>
          <w:szCs w:val="24"/>
          <w:lang w:eastAsia="es-ES"/>
        </w:rPr>
        <w:t>O contexto xeográfico da Serra da Groba no Val de Miñor e Baixo Miño constitúe un atractivo turístico de primeira magnitude que xera unha actividade económica da que depende unha gran parte da economía local.</w:t>
      </w:r>
    </w:p>
    <w:p w14:paraId="3C528011" w14:textId="77777777" w:rsidR="00B02B0E" w:rsidRPr="00B02B0E" w:rsidRDefault="00B02B0E" w:rsidP="00B02B0E">
      <w:pPr>
        <w:spacing w:before="120" w:after="0" w:line="240" w:lineRule="auto"/>
        <w:jc w:val="both"/>
        <w:rPr>
          <w:rFonts w:eastAsia="Times New Roman" w:cs="Courier New"/>
          <w:sz w:val="24"/>
          <w:szCs w:val="24"/>
          <w:lang w:eastAsia="es-ES"/>
        </w:rPr>
      </w:pPr>
      <w:r w:rsidRPr="00B02B0E">
        <w:rPr>
          <w:rFonts w:eastAsia="Times New Roman" w:cs="Courier New"/>
          <w:sz w:val="24"/>
          <w:szCs w:val="24"/>
          <w:lang w:eastAsia="es-ES"/>
        </w:rPr>
        <w:t>Na sociedade actual do século XXI os modelos turísticos cambiaron hacia un maior recoñecemento e valoración dos valores naturais dos destinos turísticos. Hoxe, o sector turístico depende en grande medida da conservación e protección dos valores naturais dos principais destinos turísticos.</w:t>
      </w:r>
    </w:p>
    <w:p w14:paraId="4407E32B" w14:textId="77777777" w:rsidR="00B02B0E" w:rsidRPr="00B02B0E" w:rsidRDefault="00B02B0E" w:rsidP="00B02B0E">
      <w:pPr>
        <w:spacing w:before="120" w:after="0" w:line="240" w:lineRule="auto"/>
        <w:jc w:val="both"/>
        <w:rPr>
          <w:rFonts w:eastAsia="Times New Roman" w:cs="Courier New"/>
          <w:sz w:val="24"/>
          <w:szCs w:val="24"/>
          <w:lang w:eastAsia="es-ES"/>
        </w:rPr>
      </w:pPr>
      <w:r w:rsidRPr="00B02B0E">
        <w:rPr>
          <w:rFonts w:eastAsia="Times New Roman" w:cs="Courier New"/>
          <w:sz w:val="24"/>
          <w:szCs w:val="24"/>
          <w:lang w:eastAsia="es-ES"/>
        </w:rPr>
        <w:t>A Serra da Groba, por tratarse dun enclave natural na área de maior densidade poboacional de Galicia atrae a miles de visitantes como atestiguan os numerosísimos roteiros de senderismo, roteiros a cabalo, roteiros de bicicleta, áreas de escalada, actividade de parapente, merendeiros e áreas recreativas, miradores, etc.</w:t>
      </w:r>
    </w:p>
    <w:p w14:paraId="7DA2BE09" w14:textId="77777777" w:rsidR="00B02B0E" w:rsidRPr="00B02B0E" w:rsidRDefault="00B02B0E" w:rsidP="00B02B0E">
      <w:pPr>
        <w:spacing w:before="120" w:after="0" w:line="240" w:lineRule="auto"/>
        <w:jc w:val="both"/>
        <w:rPr>
          <w:rFonts w:eastAsia="Times New Roman" w:cs="Courier New"/>
          <w:sz w:val="24"/>
          <w:szCs w:val="24"/>
          <w:lang w:eastAsia="es-ES"/>
        </w:rPr>
      </w:pPr>
      <w:r w:rsidRPr="00B02B0E">
        <w:rPr>
          <w:rFonts w:eastAsia="Times New Roman" w:cs="Courier New"/>
          <w:sz w:val="24"/>
          <w:szCs w:val="24"/>
          <w:lang w:eastAsia="es-ES"/>
        </w:rPr>
        <w:t>Tal e como establecen as Directrices de Ordenación do Territorio (DOT), deberán terse en conta entre otros, a composición escénica da paisaxe e a dinámica da paisaxe. A primeira entendida como a xénese das escenas que definen as paisaxes, os condicionantes das actividades e os asentamentos humanos, a partir dos elementos fundamentais como o relevo, a configuración hidrográfica ou os elementos xeomorfolóxicos, é dicir, a composición fisiográfica; e a segunda, determinada polo resultado da relación entre o ser humano e o medio, mostrada polos usos do solo e a súa distribución e composición, as cores e formas dos distintos elementos e a súa disposición en relación cos elementos estruturais.</w:t>
      </w:r>
    </w:p>
    <w:p w14:paraId="6761622B" w14:textId="77777777" w:rsidR="00B02B0E" w:rsidRPr="00B02B0E" w:rsidRDefault="00B02B0E" w:rsidP="00B02B0E">
      <w:pPr>
        <w:spacing w:before="120" w:after="0" w:line="240" w:lineRule="auto"/>
        <w:jc w:val="both"/>
        <w:rPr>
          <w:rFonts w:eastAsia="Times New Roman" w:cs="Courier New"/>
          <w:sz w:val="24"/>
          <w:szCs w:val="24"/>
          <w:lang w:eastAsia="es-ES"/>
        </w:rPr>
      </w:pPr>
      <w:r w:rsidRPr="00B02B0E">
        <w:rPr>
          <w:rFonts w:eastAsia="Times New Roman" w:cs="Courier New"/>
          <w:sz w:val="24"/>
          <w:szCs w:val="24"/>
          <w:lang w:eastAsia="es-ES"/>
        </w:rPr>
        <w:t xml:space="preserve">O proxecto do PE Torroña I sometido a exposición pública presenta un deficiente </w:t>
      </w:r>
      <w:r w:rsidRPr="00B02B0E">
        <w:rPr>
          <w:rFonts w:eastAsia="Times New Roman" w:cs="Courier New"/>
          <w:b/>
          <w:sz w:val="24"/>
          <w:szCs w:val="24"/>
          <w:lang w:eastAsia="es-ES"/>
        </w:rPr>
        <w:t xml:space="preserve">Estudo de Impacto e Integración </w:t>
      </w:r>
      <w:r w:rsidRPr="00B02B0E">
        <w:rPr>
          <w:rFonts w:eastAsia="Times New Roman" w:cs="Courier New"/>
          <w:sz w:val="24"/>
          <w:szCs w:val="24"/>
          <w:lang w:eastAsia="es-ES"/>
        </w:rPr>
        <w:t>Paisaxística (EIIP) que incumpre o Artigo 11 da Lei 7/2008, do 7 de xullo, de protección da paisaxe de Galicia.</w:t>
      </w:r>
    </w:p>
    <w:p w14:paraId="1DFFF20D" w14:textId="77777777" w:rsidR="00B02B0E" w:rsidRPr="00B02B0E" w:rsidRDefault="00B02B0E" w:rsidP="00B02B0E">
      <w:pPr>
        <w:spacing w:before="120" w:after="0" w:line="240" w:lineRule="auto"/>
        <w:jc w:val="both"/>
        <w:rPr>
          <w:rFonts w:eastAsia="Times New Roman" w:cs="Courier New"/>
          <w:b/>
          <w:bCs/>
          <w:sz w:val="24"/>
          <w:szCs w:val="24"/>
          <w:lang w:eastAsia="es-ES"/>
        </w:rPr>
      </w:pPr>
      <w:r w:rsidRPr="00B02B0E">
        <w:rPr>
          <w:rFonts w:eastAsia="Times New Roman" w:cs="Courier New"/>
          <w:b/>
          <w:bCs/>
          <w:sz w:val="24"/>
          <w:szCs w:val="24"/>
          <w:lang w:eastAsia="es-ES"/>
        </w:rPr>
        <w:t>a) Non se leva a cabo una correcta diagnose do estado actual da paisaxe: pricipais componentes, valores paisaxísticos, visibilidade</w:t>
      </w:r>
    </w:p>
    <w:p w14:paraId="7EF59BCF" w14:textId="77777777" w:rsidR="00B02B0E" w:rsidRPr="00B02B0E" w:rsidRDefault="00B02B0E" w:rsidP="00B02B0E">
      <w:pPr>
        <w:spacing w:before="120" w:after="0" w:line="240" w:lineRule="auto"/>
        <w:jc w:val="both"/>
        <w:rPr>
          <w:rFonts w:eastAsia="Times New Roman" w:cs="Courier New"/>
          <w:sz w:val="24"/>
          <w:szCs w:val="24"/>
          <w:lang w:eastAsia="es-ES"/>
        </w:rPr>
      </w:pPr>
      <w:r w:rsidRPr="00B02B0E">
        <w:rPr>
          <w:rFonts w:eastAsia="Times New Roman" w:cs="Courier New"/>
          <w:sz w:val="24"/>
          <w:szCs w:val="24"/>
          <w:lang w:eastAsia="es-ES"/>
        </w:rPr>
        <w:t>Tal como se recolle no ANEXO III do DECREO 238/2020 sobre indicadores de calidade paisaxística para o control e seguemento do estado e da evolución das unidades da paisaxe, non se calculan os seguintes indicadores:</w:t>
      </w:r>
    </w:p>
    <w:p w14:paraId="2F675228" w14:textId="77777777" w:rsidR="00B02B0E" w:rsidRPr="00B02B0E" w:rsidRDefault="00B02B0E" w:rsidP="00B02B0E">
      <w:pPr>
        <w:numPr>
          <w:ilvl w:val="0"/>
          <w:numId w:val="37"/>
        </w:numPr>
        <w:spacing w:before="120" w:after="0" w:line="240" w:lineRule="auto"/>
        <w:ind w:left="2136"/>
        <w:jc w:val="both"/>
        <w:rPr>
          <w:rFonts w:eastAsia="Times New Roman" w:cs="Courier New"/>
          <w:sz w:val="24"/>
          <w:szCs w:val="24"/>
          <w:lang w:eastAsia="es-ES"/>
        </w:rPr>
      </w:pPr>
      <w:r w:rsidRPr="00B02B0E">
        <w:rPr>
          <w:rFonts w:eastAsia="Times New Roman" w:cs="Courier New"/>
          <w:sz w:val="24"/>
          <w:szCs w:val="24"/>
          <w:lang w:eastAsia="es-ES"/>
        </w:rPr>
        <w:t>Índice de diversidad de coberturas forestales</w:t>
      </w:r>
    </w:p>
    <w:p w14:paraId="29C7890C" w14:textId="77777777" w:rsidR="00B02B0E" w:rsidRPr="00B02B0E" w:rsidRDefault="00B02B0E" w:rsidP="00B02B0E">
      <w:pPr>
        <w:numPr>
          <w:ilvl w:val="0"/>
          <w:numId w:val="37"/>
        </w:numPr>
        <w:spacing w:before="120" w:after="0" w:line="240" w:lineRule="auto"/>
        <w:ind w:left="2136"/>
        <w:jc w:val="both"/>
        <w:rPr>
          <w:rFonts w:eastAsia="Times New Roman" w:cs="Courier New"/>
          <w:sz w:val="24"/>
          <w:szCs w:val="24"/>
          <w:lang w:eastAsia="es-ES"/>
        </w:rPr>
      </w:pPr>
      <w:r w:rsidRPr="00B02B0E">
        <w:rPr>
          <w:rFonts w:eastAsia="Times New Roman" w:cs="Courier New"/>
          <w:sz w:val="24"/>
          <w:szCs w:val="24"/>
          <w:lang w:eastAsia="es-ES"/>
        </w:rPr>
        <w:t>Área media de las manchas forestales</w:t>
      </w:r>
    </w:p>
    <w:p w14:paraId="66E153E5" w14:textId="77777777" w:rsidR="00B02B0E" w:rsidRPr="00B02B0E" w:rsidRDefault="00B02B0E" w:rsidP="00B02B0E">
      <w:pPr>
        <w:numPr>
          <w:ilvl w:val="0"/>
          <w:numId w:val="37"/>
        </w:numPr>
        <w:spacing w:before="120" w:after="0" w:line="240" w:lineRule="auto"/>
        <w:ind w:left="2136"/>
        <w:jc w:val="both"/>
        <w:rPr>
          <w:rFonts w:eastAsia="Times New Roman" w:cs="Courier New"/>
          <w:sz w:val="24"/>
          <w:szCs w:val="24"/>
          <w:lang w:eastAsia="es-ES"/>
        </w:rPr>
      </w:pPr>
      <w:r w:rsidRPr="00B02B0E">
        <w:rPr>
          <w:rFonts w:eastAsia="Times New Roman" w:cs="Courier New"/>
          <w:sz w:val="24"/>
          <w:szCs w:val="24"/>
          <w:lang w:eastAsia="es-ES"/>
        </w:rPr>
        <w:t>Área de superficies forestales que cambian de uso</w:t>
      </w:r>
    </w:p>
    <w:p w14:paraId="6D5C5D6B" w14:textId="77777777" w:rsidR="00B02B0E" w:rsidRPr="00B02B0E" w:rsidRDefault="00B02B0E" w:rsidP="00B02B0E">
      <w:pPr>
        <w:numPr>
          <w:ilvl w:val="0"/>
          <w:numId w:val="37"/>
        </w:numPr>
        <w:spacing w:before="120" w:after="0" w:line="240" w:lineRule="auto"/>
        <w:ind w:left="2136"/>
        <w:jc w:val="both"/>
        <w:rPr>
          <w:rFonts w:eastAsia="Times New Roman" w:cs="Courier New"/>
          <w:sz w:val="24"/>
          <w:szCs w:val="24"/>
          <w:lang w:eastAsia="es-ES"/>
        </w:rPr>
      </w:pPr>
      <w:r w:rsidRPr="00B02B0E">
        <w:rPr>
          <w:rFonts w:eastAsia="Times New Roman" w:cs="Courier New"/>
          <w:sz w:val="24"/>
          <w:szCs w:val="24"/>
          <w:lang w:eastAsia="es-ES"/>
        </w:rPr>
        <w:t>Índice de diversidad agroforestal</w:t>
      </w:r>
    </w:p>
    <w:p w14:paraId="0B78BAED" w14:textId="77777777" w:rsidR="00B02B0E" w:rsidRPr="00B02B0E" w:rsidRDefault="00B02B0E" w:rsidP="00B02B0E">
      <w:pPr>
        <w:numPr>
          <w:ilvl w:val="0"/>
          <w:numId w:val="37"/>
        </w:numPr>
        <w:spacing w:before="120" w:after="0" w:line="240" w:lineRule="auto"/>
        <w:ind w:left="2136"/>
        <w:jc w:val="both"/>
        <w:rPr>
          <w:rFonts w:eastAsia="Times New Roman" w:cs="Courier New"/>
          <w:sz w:val="24"/>
          <w:szCs w:val="24"/>
          <w:lang w:eastAsia="es-ES"/>
        </w:rPr>
      </w:pPr>
      <w:r w:rsidRPr="00B02B0E">
        <w:rPr>
          <w:rFonts w:eastAsia="Times New Roman" w:cs="Courier New"/>
          <w:sz w:val="24"/>
          <w:szCs w:val="24"/>
          <w:lang w:eastAsia="es-ES"/>
        </w:rPr>
        <w:t>Índice de proximidad de manchas urbanas</w:t>
      </w:r>
    </w:p>
    <w:p w14:paraId="31A7BCB0" w14:textId="77777777" w:rsidR="00B02B0E" w:rsidRPr="00B02B0E" w:rsidRDefault="00B02B0E" w:rsidP="00B02B0E">
      <w:pPr>
        <w:numPr>
          <w:ilvl w:val="0"/>
          <w:numId w:val="37"/>
        </w:numPr>
        <w:spacing w:before="120" w:after="0" w:line="240" w:lineRule="auto"/>
        <w:ind w:left="2136"/>
        <w:jc w:val="both"/>
        <w:rPr>
          <w:rFonts w:eastAsia="Times New Roman" w:cs="Courier New"/>
          <w:sz w:val="24"/>
          <w:szCs w:val="24"/>
          <w:lang w:eastAsia="es-ES"/>
        </w:rPr>
      </w:pPr>
      <w:r w:rsidRPr="00B02B0E">
        <w:rPr>
          <w:rFonts w:eastAsia="Times New Roman" w:cs="Courier New"/>
          <w:sz w:val="24"/>
          <w:szCs w:val="24"/>
          <w:lang w:eastAsia="es-ES"/>
        </w:rPr>
        <w:lastRenderedPageBreak/>
        <w:t>Índice de calidad visual (ICV)</w:t>
      </w:r>
    </w:p>
    <w:p w14:paraId="0AFE7452" w14:textId="77777777" w:rsidR="00B02B0E" w:rsidRPr="00B02B0E" w:rsidRDefault="00B02B0E" w:rsidP="00B02B0E">
      <w:pPr>
        <w:spacing w:before="120" w:after="0" w:line="240" w:lineRule="auto"/>
        <w:ind w:left="435" w:hanging="284"/>
        <w:jc w:val="both"/>
        <w:rPr>
          <w:rFonts w:eastAsia="Times New Roman" w:cs="Courier New"/>
          <w:b/>
          <w:bCs/>
          <w:sz w:val="24"/>
          <w:szCs w:val="24"/>
          <w:lang w:eastAsia="es-ES"/>
        </w:rPr>
      </w:pPr>
      <w:r w:rsidRPr="00B02B0E">
        <w:rPr>
          <w:rFonts w:eastAsia="Times New Roman" w:cs="Courier New"/>
          <w:b/>
          <w:bCs/>
          <w:sz w:val="24"/>
          <w:szCs w:val="24"/>
          <w:lang w:eastAsia="es-ES"/>
        </w:rPr>
        <w:t>b) Non se xustifica cómo se incorporarán ao proxecto os Obxectivos de Calidade Paisaxística (OCP)  para áreas de especial interés paisaxístico (AEIP) recollidos no DECRETO 238/2020 polo que se aproban as Directrices de paisaxe de Galicia.</w:t>
      </w:r>
    </w:p>
    <w:p w14:paraId="5EC13319" w14:textId="77777777" w:rsidR="00B02B0E" w:rsidRPr="00B02B0E" w:rsidRDefault="00B02B0E" w:rsidP="00B02B0E">
      <w:pPr>
        <w:spacing w:before="120" w:after="0" w:line="240" w:lineRule="auto"/>
        <w:ind w:left="151" w:right="1286"/>
        <w:jc w:val="both"/>
        <w:rPr>
          <w:rFonts w:cs="Bodoni-Book"/>
          <w:iCs/>
          <w:sz w:val="24"/>
          <w:szCs w:val="24"/>
          <w:lang w:eastAsia="es-ES"/>
        </w:rPr>
      </w:pPr>
      <w:r w:rsidRPr="00B02B0E">
        <w:rPr>
          <w:rFonts w:cs="Bodoni-Book"/>
          <w:iCs/>
          <w:sz w:val="24"/>
          <w:szCs w:val="24"/>
          <w:lang w:eastAsia="es-ES"/>
        </w:rPr>
        <w:t xml:space="preserve">Na zona afectada polo PE Torroña I produciranse efectos </w:t>
      </w:r>
      <w:r w:rsidRPr="00B02B0E">
        <w:rPr>
          <w:rFonts w:cs="Bodoni-Book"/>
          <w:b/>
          <w:bCs/>
          <w:iCs/>
          <w:sz w:val="24"/>
          <w:szCs w:val="24"/>
          <w:lang w:eastAsia="es-ES"/>
        </w:rPr>
        <w:t>MOI SEVEROS</w:t>
      </w:r>
      <w:r w:rsidRPr="00B02B0E">
        <w:rPr>
          <w:rFonts w:cs="Bodoni-Book"/>
          <w:iCs/>
          <w:sz w:val="24"/>
          <w:szCs w:val="24"/>
          <w:lang w:eastAsia="es-ES"/>
        </w:rPr>
        <w:t xml:space="preserve"> sobre,</w:t>
      </w:r>
    </w:p>
    <w:p w14:paraId="34D22099" w14:textId="77777777" w:rsidR="00B02B0E" w:rsidRPr="00B02B0E" w:rsidRDefault="00B02B0E" w:rsidP="00B02B0E">
      <w:pPr>
        <w:numPr>
          <w:ilvl w:val="0"/>
          <w:numId w:val="38"/>
        </w:numPr>
        <w:spacing w:before="120" w:after="0" w:line="240" w:lineRule="auto"/>
        <w:ind w:left="1013" w:right="1286"/>
        <w:contextualSpacing/>
        <w:jc w:val="both"/>
        <w:rPr>
          <w:rFonts w:cs="Bodoni-Book"/>
          <w:iCs/>
          <w:sz w:val="24"/>
          <w:szCs w:val="24"/>
          <w:lang w:eastAsia="es-ES"/>
        </w:rPr>
      </w:pPr>
      <w:r w:rsidRPr="00B02B0E">
        <w:rPr>
          <w:rFonts w:cs="Bodoni-Book"/>
          <w:b/>
          <w:bCs/>
          <w:iCs/>
          <w:sz w:val="24"/>
          <w:szCs w:val="24"/>
          <w:lang w:eastAsia="es-ES"/>
        </w:rPr>
        <w:t>miradores</w:t>
      </w:r>
      <w:r w:rsidRPr="00B02B0E">
        <w:rPr>
          <w:rFonts w:cs="Bodoni-Book"/>
          <w:iCs/>
          <w:sz w:val="24"/>
          <w:szCs w:val="24"/>
          <w:lang w:eastAsia="es-ES"/>
        </w:rPr>
        <w:t>:</w:t>
      </w:r>
    </w:p>
    <w:p w14:paraId="7C39513D" w14:textId="77777777" w:rsidR="00B02B0E" w:rsidRPr="00B02B0E" w:rsidRDefault="00B02B0E" w:rsidP="00B02B0E">
      <w:pPr>
        <w:spacing w:before="120" w:after="0" w:line="240" w:lineRule="auto"/>
        <w:ind w:left="151" w:right="1286" w:firstLine="707"/>
        <w:jc w:val="both"/>
        <w:rPr>
          <w:rFonts w:cs="Bodoni-Book"/>
          <w:iCs/>
          <w:sz w:val="24"/>
          <w:szCs w:val="24"/>
          <w:lang w:eastAsia="es-ES"/>
        </w:rPr>
      </w:pPr>
      <w:r w:rsidRPr="00B02B0E">
        <w:rPr>
          <w:rFonts w:cs="Bodoni-Book"/>
          <w:iCs/>
          <w:sz w:val="24"/>
          <w:szCs w:val="24"/>
          <w:lang w:eastAsia="es-ES"/>
        </w:rPr>
        <w:t>Monte da Groba (cod. 121). AEIP potencialmente visibles:</w:t>
      </w:r>
    </w:p>
    <w:p w14:paraId="3DEE9230" w14:textId="77777777" w:rsidR="00B02B0E" w:rsidRPr="00B02B0E" w:rsidRDefault="00B02B0E" w:rsidP="00B02B0E">
      <w:pPr>
        <w:spacing w:after="0" w:line="240" w:lineRule="auto"/>
        <w:rPr>
          <w:sz w:val="24"/>
          <w:szCs w:val="24"/>
        </w:rPr>
        <w:sectPr w:rsidR="00B02B0E" w:rsidRPr="00B02B0E" w:rsidSect="00B02B0E">
          <w:footerReference w:type="default" r:id="rId74"/>
          <w:type w:val="continuous"/>
          <w:pgSz w:w="11906" w:h="16838"/>
          <w:pgMar w:top="1135" w:right="1133" w:bottom="1417" w:left="1134" w:header="708" w:footer="708" w:gutter="0"/>
          <w:cols w:space="720"/>
          <w:rtlGutter/>
        </w:sectPr>
      </w:pPr>
    </w:p>
    <w:p w14:paraId="046B0D30" w14:textId="77777777" w:rsidR="00B02B0E" w:rsidRPr="00B02B0E" w:rsidRDefault="00B02B0E" w:rsidP="00B02B0E">
      <w:pPr>
        <w:spacing w:after="0" w:line="240" w:lineRule="auto"/>
        <w:ind w:right="71"/>
        <w:jc w:val="both"/>
        <w:rPr>
          <w:sz w:val="24"/>
          <w:szCs w:val="24"/>
        </w:rPr>
      </w:pPr>
      <w:r w:rsidRPr="00B02B0E">
        <w:rPr>
          <w:sz w:val="24"/>
          <w:szCs w:val="24"/>
        </w:rPr>
        <w:t>AEIP_06_01</w:t>
      </w:r>
    </w:p>
    <w:p w14:paraId="19E5A46F" w14:textId="77777777" w:rsidR="00B02B0E" w:rsidRPr="00B02B0E" w:rsidRDefault="00B02B0E" w:rsidP="00B02B0E">
      <w:pPr>
        <w:spacing w:after="0" w:line="240" w:lineRule="auto"/>
        <w:ind w:right="71"/>
        <w:jc w:val="both"/>
        <w:rPr>
          <w:sz w:val="24"/>
          <w:szCs w:val="24"/>
        </w:rPr>
      </w:pPr>
      <w:r w:rsidRPr="00B02B0E">
        <w:rPr>
          <w:sz w:val="24"/>
          <w:szCs w:val="24"/>
        </w:rPr>
        <w:t>AEIP_06_06</w:t>
      </w:r>
    </w:p>
    <w:p w14:paraId="19E2006E" w14:textId="77777777" w:rsidR="00B02B0E" w:rsidRPr="00B02B0E" w:rsidRDefault="00B02B0E" w:rsidP="00B02B0E">
      <w:pPr>
        <w:spacing w:after="0" w:line="240" w:lineRule="auto"/>
        <w:ind w:right="71"/>
        <w:jc w:val="both"/>
        <w:rPr>
          <w:sz w:val="24"/>
          <w:szCs w:val="24"/>
        </w:rPr>
      </w:pPr>
      <w:r w:rsidRPr="00B02B0E">
        <w:rPr>
          <w:sz w:val="24"/>
          <w:szCs w:val="24"/>
        </w:rPr>
        <w:t>AEIP_06_09</w:t>
      </w:r>
    </w:p>
    <w:p w14:paraId="0E374817" w14:textId="77777777" w:rsidR="00B02B0E" w:rsidRPr="00B02B0E" w:rsidRDefault="00B02B0E" w:rsidP="00B02B0E">
      <w:pPr>
        <w:spacing w:after="0" w:line="240" w:lineRule="auto"/>
        <w:ind w:right="71"/>
        <w:jc w:val="both"/>
        <w:rPr>
          <w:sz w:val="24"/>
          <w:szCs w:val="24"/>
        </w:rPr>
      </w:pPr>
      <w:r w:rsidRPr="00B02B0E">
        <w:rPr>
          <w:sz w:val="24"/>
          <w:szCs w:val="24"/>
        </w:rPr>
        <w:t>AEIP_08_10</w:t>
      </w:r>
    </w:p>
    <w:p w14:paraId="79D562CF" w14:textId="77777777" w:rsidR="00B02B0E" w:rsidRPr="00B02B0E" w:rsidRDefault="00B02B0E" w:rsidP="00B02B0E">
      <w:pPr>
        <w:spacing w:after="0" w:line="240" w:lineRule="auto"/>
        <w:ind w:right="71"/>
        <w:jc w:val="both"/>
        <w:rPr>
          <w:sz w:val="24"/>
          <w:szCs w:val="24"/>
        </w:rPr>
      </w:pPr>
      <w:r w:rsidRPr="00B02B0E">
        <w:rPr>
          <w:sz w:val="24"/>
          <w:szCs w:val="24"/>
        </w:rPr>
        <w:t>AEIP_06_11</w:t>
      </w:r>
    </w:p>
    <w:p w14:paraId="0A3C91D8" w14:textId="77777777" w:rsidR="00B02B0E" w:rsidRPr="00B02B0E" w:rsidRDefault="00B02B0E" w:rsidP="00B02B0E">
      <w:pPr>
        <w:spacing w:after="0" w:line="240" w:lineRule="auto"/>
        <w:ind w:right="71"/>
        <w:jc w:val="both"/>
        <w:rPr>
          <w:sz w:val="24"/>
          <w:szCs w:val="24"/>
        </w:rPr>
      </w:pPr>
      <w:r w:rsidRPr="00B02B0E">
        <w:rPr>
          <w:sz w:val="24"/>
          <w:szCs w:val="24"/>
        </w:rPr>
        <w:t>AEIP_08_13</w:t>
      </w:r>
    </w:p>
    <w:p w14:paraId="50B3BBA6" w14:textId="77777777" w:rsidR="00B02B0E" w:rsidRPr="00B02B0E" w:rsidRDefault="00B02B0E" w:rsidP="00B02B0E">
      <w:pPr>
        <w:spacing w:after="0" w:line="240" w:lineRule="auto"/>
        <w:ind w:right="71"/>
        <w:jc w:val="both"/>
        <w:rPr>
          <w:sz w:val="24"/>
          <w:szCs w:val="24"/>
        </w:rPr>
      </w:pPr>
      <w:r w:rsidRPr="00B02B0E">
        <w:rPr>
          <w:sz w:val="24"/>
          <w:szCs w:val="24"/>
        </w:rPr>
        <w:t>AEIP_06_14</w:t>
      </w:r>
    </w:p>
    <w:p w14:paraId="1A32A147" w14:textId="77777777" w:rsidR="00B02B0E" w:rsidRPr="00B02B0E" w:rsidRDefault="00B02B0E" w:rsidP="00B02B0E">
      <w:pPr>
        <w:spacing w:after="0" w:line="240" w:lineRule="auto"/>
        <w:ind w:right="71"/>
        <w:jc w:val="both"/>
        <w:rPr>
          <w:sz w:val="24"/>
          <w:szCs w:val="24"/>
        </w:rPr>
      </w:pPr>
      <w:r w:rsidRPr="00B02B0E">
        <w:rPr>
          <w:sz w:val="24"/>
          <w:szCs w:val="24"/>
        </w:rPr>
        <w:t>AEIP_08_19</w:t>
      </w:r>
    </w:p>
    <w:p w14:paraId="2361EFB2" w14:textId="77777777" w:rsidR="00B02B0E" w:rsidRPr="00B02B0E" w:rsidRDefault="00B02B0E" w:rsidP="00B02B0E">
      <w:pPr>
        <w:spacing w:after="0" w:line="240" w:lineRule="auto"/>
        <w:ind w:right="71"/>
        <w:jc w:val="both"/>
        <w:rPr>
          <w:rFonts w:cs="Bodoni-Book"/>
          <w:iCs/>
          <w:sz w:val="24"/>
          <w:szCs w:val="24"/>
          <w:lang w:eastAsia="es-ES"/>
        </w:rPr>
      </w:pPr>
      <w:r w:rsidRPr="00B02B0E">
        <w:rPr>
          <w:sz w:val="24"/>
          <w:szCs w:val="24"/>
        </w:rPr>
        <w:t>AEIP_08_20</w:t>
      </w:r>
    </w:p>
    <w:p w14:paraId="7F353D67" w14:textId="77777777" w:rsidR="00B02B0E" w:rsidRPr="00B02B0E" w:rsidRDefault="00B02B0E" w:rsidP="00B02B0E">
      <w:pPr>
        <w:spacing w:after="0" w:line="240" w:lineRule="auto"/>
        <w:ind w:right="71"/>
        <w:jc w:val="both"/>
        <w:rPr>
          <w:sz w:val="24"/>
          <w:szCs w:val="24"/>
        </w:rPr>
      </w:pPr>
      <w:r w:rsidRPr="00B02B0E">
        <w:rPr>
          <w:sz w:val="24"/>
          <w:szCs w:val="24"/>
        </w:rPr>
        <w:t>AEIP_08_22</w:t>
      </w:r>
    </w:p>
    <w:p w14:paraId="38818C08" w14:textId="77777777" w:rsidR="00B02B0E" w:rsidRPr="00B02B0E" w:rsidRDefault="00B02B0E" w:rsidP="00B02B0E">
      <w:pPr>
        <w:spacing w:after="0" w:line="240" w:lineRule="auto"/>
        <w:rPr>
          <w:rFonts w:cs="Bodoni-Book"/>
          <w:iCs/>
          <w:sz w:val="24"/>
          <w:szCs w:val="24"/>
          <w:lang w:eastAsia="es-ES"/>
        </w:rPr>
        <w:sectPr w:rsidR="00B02B0E" w:rsidRPr="00B02B0E">
          <w:type w:val="continuous"/>
          <w:pgSz w:w="11906" w:h="16838"/>
          <w:pgMar w:top="1135" w:right="3806" w:bottom="1417" w:left="3780" w:header="708" w:footer="708" w:gutter="0"/>
          <w:cols w:num="2" w:space="709"/>
        </w:sectPr>
      </w:pPr>
    </w:p>
    <w:p w14:paraId="5CE5F33C" w14:textId="77777777" w:rsidR="00B02B0E" w:rsidRPr="00B02B0E" w:rsidRDefault="00B02B0E" w:rsidP="00B02B0E">
      <w:pPr>
        <w:spacing w:before="120" w:after="0" w:line="240" w:lineRule="auto"/>
        <w:ind w:left="293" w:right="74"/>
        <w:jc w:val="both"/>
        <w:rPr>
          <w:rFonts w:cs="Bodoni-Book"/>
          <w:iCs/>
          <w:sz w:val="24"/>
          <w:szCs w:val="24"/>
          <w:lang w:eastAsia="es-ES"/>
        </w:rPr>
      </w:pPr>
      <w:r w:rsidRPr="00B02B0E">
        <w:rPr>
          <w:rFonts w:cs="Bodoni-Book"/>
          <w:iCs/>
          <w:sz w:val="24"/>
          <w:szCs w:val="24"/>
          <w:lang w:eastAsia="es-ES"/>
        </w:rPr>
        <w:t>Pedra da Gata (cod. 289): AEIP potencialmente visibles:</w:t>
      </w:r>
    </w:p>
    <w:p w14:paraId="7CB126F3" w14:textId="77777777" w:rsidR="00B02B0E" w:rsidRPr="00B02B0E" w:rsidRDefault="00B02B0E" w:rsidP="00B02B0E">
      <w:pPr>
        <w:spacing w:after="0" w:line="240" w:lineRule="auto"/>
        <w:rPr>
          <w:sz w:val="24"/>
          <w:szCs w:val="24"/>
        </w:rPr>
        <w:sectPr w:rsidR="00B02B0E" w:rsidRPr="00B02B0E">
          <w:type w:val="continuous"/>
          <w:pgSz w:w="11906" w:h="16838"/>
          <w:pgMar w:top="1135" w:right="1700" w:bottom="1417" w:left="1701" w:header="708" w:footer="708" w:gutter="0"/>
          <w:cols w:space="720"/>
        </w:sectPr>
      </w:pPr>
    </w:p>
    <w:p w14:paraId="33303688" w14:textId="77777777" w:rsidR="00B02B0E" w:rsidRPr="00B02B0E" w:rsidRDefault="00B02B0E" w:rsidP="00B02B0E">
      <w:pPr>
        <w:spacing w:after="0" w:line="240" w:lineRule="auto"/>
        <w:jc w:val="both"/>
        <w:rPr>
          <w:sz w:val="24"/>
          <w:szCs w:val="24"/>
        </w:rPr>
      </w:pPr>
      <w:r w:rsidRPr="00B02B0E">
        <w:rPr>
          <w:sz w:val="24"/>
          <w:szCs w:val="24"/>
        </w:rPr>
        <w:t>AEIP_06_06</w:t>
      </w:r>
    </w:p>
    <w:p w14:paraId="5BA8DBCB" w14:textId="77777777" w:rsidR="00B02B0E" w:rsidRPr="00B02B0E" w:rsidRDefault="00B02B0E" w:rsidP="00B02B0E">
      <w:pPr>
        <w:spacing w:after="0" w:line="240" w:lineRule="auto"/>
        <w:jc w:val="both"/>
        <w:rPr>
          <w:sz w:val="24"/>
          <w:szCs w:val="24"/>
        </w:rPr>
      </w:pPr>
      <w:r w:rsidRPr="00B02B0E">
        <w:rPr>
          <w:sz w:val="24"/>
          <w:szCs w:val="24"/>
        </w:rPr>
        <w:t>AEIP_08_19</w:t>
      </w:r>
    </w:p>
    <w:p w14:paraId="7804D329" w14:textId="77777777" w:rsidR="00B02B0E" w:rsidRPr="00B02B0E" w:rsidRDefault="00B02B0E" w:rsidP="00B02B0E">
      <w:pPr>
        <w:spacing w:after="0" w:line="240" w:lineRule="auto"/>
        <w:jc w:val="both"/>
        <w:rPr>
          <w:sz w:val="24"/>
          <w:szCs w:val="24"/>
        </w:rPr>
      </w:pPr>
      <w:r w:rsidRPr="00B02B0E">
        <w:rPr>
          <w:sz w:val="24"/>
          <w:szCs w:val="24"/>
        </w:rPr>
        <w:t>AEIP_06_09</w:t>
      </w:r>
    </w:p>
    <w:p w14:paraId="6C25B29E" w14:textId="77777777" w:rsidR="00B02B0E" w:rsidRPr="00B02B0E" w:rsidRDefault="00B02B0E" w:rsidP="00B02B0E">
      <w:pPr>
        <w:spacing w:after="0" w:line="240" w:lineRule="auto"/>
        <w:jc w:val="both"/>
        <w:rPr>
          <w:sz w:val="24"/>
          <w:szCs w:val="24"/>
        </w:rPr>
      </w:pPr>
      <w:r w:rsidRPr="00B02B0E">
        <w:rPr>
          <w:sz w:val="24"/>
          <w:szCs w:val="24"/>
        </w:rPr>
        <w:t>AEIP_08_20</w:t>
      </w:r>
    </w:p>
    <w:p w14:paraId="7D4258CC" w14:textId="77777777" w:rsidR="00B02B0E" w:rsidRPr="00B02B0E" w:rsidRDefault="00B02B0E" w:rsidP="00B02B0E">
      <w:pPr>
        <w:spacing w:after="0" w:line="240" w:lineRule="auto"/>
        <w:jc w:val="both"/>
        <w:rPr>
          <w:sz w:val="24"/>
          <w:szCs w:val="24"/>
        </w:rPr>
      </w:pPr>
      <w:r w:rsidRPr="00B02B0E">
        <w:rPr>
          <w:sz w:val="24"/>
          <w:szCs w:val="24"/>
        </w:rPr>
        <w:t>AEIP_06_10</w:t>
      </w:r>
    </w:p>
    <w:p w14:paraId="75557E9F" w14:textId="77777777" w:rsidR="00B02B0E" w:rsidRPr="00B02B0E" w:rsidRDefault="00B02B0E" w:rsidP="00B02B0E">
      <w:pPr>
        <w:spacing w:after="0" w:line="240" w:lineRule="auto"/>
        <w:jc w:val="both"/>
        <w:rPr>
          <w:sz w:val="24"/>
          <w:szCs w:val="24"/>
        </w:rPr>
      </w:pPr>
      <w:r w:rsidRPr="00B02B0E">
        <w:rPr>
          <w:sz w:val="24"/>
          <w:szCs w:val="24"/>
        </w:rPr>
        <w:t>AEIP_08_21</w:t>
      </w:r>
    </w:p>
    <w:p w14:paraId="6BE784FB" w14:textId="77777777" w:rsidR="00B02B0E" w:rsidRPr="00B02B0E" w:rsidRDefault="00B02B0E" w:rsidP="00B02B0E">
      <w:pPr>
        <w:spacing w:after="0" w:line="240" w:lineRule="auto"/>
        <w:jc w:val="both"/>
        <w:rPr>
          <w:sz w:val="24"/>
          <w:szCs w:val="24"/>
        </w:rPr>
      </w:pPr>
      <w:r w:rsidRPr="00B02B0E">
        <w:rPr>
          <w:sz w:val="24"/>
          <w:szCs w:val="24"/>
        </w:rPr>
        <w:t>AEIP_06_11</w:t>
      </w:r>
    </w:p>
    <w:p w14:paraId="2BE58EB1" w14:textId="77777777" w:rsidR="00B02B0E" w:rsidRPr="00B02B0E" w:rsidRDefault="00B02B0E" w:rsidP="00B02B0E">
      <w:pPr>
        <w:spacing w:after="0" w:line="240" w:lineRule="auto"/>
        <w:jc w:val="both"/>
        <w:rPr>
          <w:sz w:val="24"/>
          <w:szCs w:val="24"/>
        </w:rPr>
      </w:pPr>
      <w:r w:rsidRPr="00B02B0E">
        <w:rPr>
          <w:sz w:val="24"/>
          <w:szCs w:val="24"/>
        </w:rPr>
        <w:t>AEIP_08_22</w:t>
      </w:r>
    </w:p>
    <w:p w14:paraId="209FD95F" w14:textId="77777777" w:rsidR="00B02B0E" w:rsidRPr="00B02B0E" w:rsidRDefault="00B02B0E" w:rsidP="00B02B0E">
      <w:pPr>
        <w:spacing w:after="0" w:line="240" w:lineRule="auto"/>
        <w:jc w:val="both"/>
        <w:rPr>
          <w:sz w:val="24"/>
          <w:szCs w:val="24"/>
        </w:rPr>
      </w:pPr>
      <w:r w:rsidRPr="00B02B0E">
        <w:rPr>
          <w:sz w:val="24"/>
          <w:szCs w:val="24"/>
        </w:rPr>
        <w:t>AEIP_06_12</w:t>
      </w:r>
    </w:p>
    <w:p w14:paraId="2F62C66A" w14:textId="77777777" w:rsidR="00B02B0E" w:rsidRPr="00B02B0E" w:rsidRDefault="00B02B0E" w:rsidP="00B02B0E">
      <w:pPr>
        <w:spacing w:after="0" w:line="240" w:lineRule="auto"/>
        <w:jc w:val="both"/>
        <w:rPr>
          <w:rFonts w:cs="Bodoni-Book"/>
          <w:iCs/>
          <w:sz w:val="24"/>
          <w:szCs w:val="24"/>
          <w:lang w:eastAsia="es-ES"/>
        </w:rPr>
      </w:pPr>
      <w:r w:rsidRPr="00B02B0E">
        <w:rPr>
          <w:sz w:val="24"/>
          <w:szCs w:val="24"/>
        </w:rPr>
        <w:t>AEIP_06_13</w:t>
      </w:r>
    </w:p>
    <w:p w14:paraId="7B628D1F" w14:textId="77777777" w:rsidR="00B02B0E" w:rsidRPr="00B02B0E" w:rsidRDefault="00B02B0E" w:rsidP="00B02B0E">
      <w:pPr>
        <w:spacing w:after="0" w:line="240" w:lineRule="auto"/>
        <w:rPr>
          <w:rFonts w:cs="Bodoni-Book"/>
          <w:b/>
          <w:bCs/>
          <w:iCs/>
          <w:sz w:val="24"/>
          <w:szCs w:val="24"/>
          <w:lang w:eastAsia="es-ES"/>
        </w:rPr>
        <w:sectPr w:rsidR="00B02B0E" w:rsidRPr="00B02B0E">
          <w:type w:val="continuous"/>
          <w:pgSz w:w="11906" w:h="16838"/>
          <w:pgMar w:top="1135" w:right="3806" w:bottom="1417" w:left="3780" w:header="708" w:footer="708" w:gutter="0"/>
          <w:cols w:num="2" w:space="709"/>
        </w:sectPr>
      </w:pPr>
    </w:p>
    <w:p w14:paraId="0ECCDC72" w14:textId="77777777" w:rsidR="00B02B0E" w:rsidRPr="00B02B0E" w:rsidRDefault="00B02B0E" w:rsidP="00B02B0E">
      <w:pPr>
        <w:numPr>
          <w:ilvl w:val="0"/>
          <w:numId w:val="38"/>
        </w:numPr>
        <w:spacing w:before="120" w:after="0" w:line="240" w:lineRule="auto"/>
        <w:ind w:left="435" w:right="1286" w:hanging="426"/>
        <w:contextualSpacing/>
        <w:jc w:val="both"/>
        <w:rPr>
          <w:rFonts w:cs="Bodoni-Book"/>
          <w:iCs/>
          <w:sz w:val="24"/>
          <w:szCs w:val="24"/>
          <w:lang w:eastAsia="es-ES"/>
        </w:rPr>
      </w:pPr>
      <w:r w:rsidRPr="00B02B0E">
        <w:rPr>
          <w:rFonts w:cs="Bodoni-Book"/>
          <w:b/>
          <w:bCs/>
          <w:iCs/>
          <w:sz w:val="24"/>
          <w:szCs w:val="24"/>
          <w:lang w:eastAsia="es-ES"/>
        </w:rPr>
        <w:t>Áreas Especiais de Interés Paisaxístico (AEIP)</w:t>
      </w:r>
      <w:r w:rsidRPr="00B02B0E">
        <w:rPr>
          <w:rFonts w:cs="Bodoni-Book"/>
          <w:iCs/>
          <w:sz w:val="24"/>
          <w:szCs w:val="24"/>
          <w:lang w:eastAsia="es-ES"/>
        </w:rPr>
        <w:t>:</w:t>
      </w:r>
    </w:p>
    <w:p w14:paraId="6431B064" w14:textId="77777777" w:rsidR="00B02B0E" w:rsidRPr="00B02B0E" w:rsidRDefault="00B02B0E" w:rsidP="00B02B0E">
      <w:pPr>
        <w:spacing w:before="120" w:after="0" w:line="240" w:lineRule="auto"/>
        <w:ind w:left="1782" w:right="1287"/>
        <w:jc w:val="both"/>
        <w:rPr>
          <w:rFonts w:cs="Bodoni-Book"/>
          <w:iCs/>
          <w:sz w:val="24"/>
          <w:szCs w:val="24"/>
          <w:lang w:eastAsia="es-ES"/>
        </w:rPr>
      </w:pPr>
      <w:r w:rsidRPr="00B02B0E">
        <w:rPr>
          <w:rFonts w:cs="Bodoni-Book"/>
          <w:iCs/>
          <w:sz w:val="24"/>
          <w:szCs w:val="24"/>
          <w:lang w:eastAsia="es-ES"/>
        </w:rPr>
        <w:t>AEIP_06_09_ Serra da Groba</w:t>
      </w:r>
    </w:p>
    <w:p w14:paraId="6148E842" w14:textId="77777777" w:rsidR="00B02B0E" w:rsidRPr="00B02B0E" w:rsidRDefault="00B02B0E" w:rsidP="00B02B0E">
      <w:pPr>
        <w:numPr>
          <w:ilvl w:val="0"/>
          <w:numId w:val="38"/>
        </w:numPr>
        <w:spacing w:before="120" w:after="0" w:line="240" w:lineRule="auto"/>
        <w:ind w:left="435" w:right="1286"/>
        <w:contextualSpacing/>
        <w:jc w:val="both"/>
        <w:rPr>
          <w:rFonts w:cs="Bodoni-Book"/>
          <w:iCs/>
          <w:sz w:val="24"/>
          <w:szCs w:val="24"/>
          <w:lang w:eastAsia="es-ES"/>
        </w:rPr>
      </w:pPr>
      <w:r w:rsidRPr="00B02B0E">
        <w:rPr>
          <w:rFonts w:cs="Bodoni-Book"/>
          <w:b/>
          <w:bCs/>
          <w:iCs/>
          <w:sz w:val="24"/>
          <w:szCs w:val="24"/>
          <w:lang w:eastAsia="es-ES"/>
        </w:rPr>
        <w:t>Itinerarios de interés paisaxístico</w:t>
      </w:r>
      <w:r w:rsidRPr="00B02B0E">
        <w:rPr>
          <w:rFonts w:cs="Bodoni-Book"/>
          <w:iCs/>
          <w:sz w:val="24"/>
          <w:szCs w:val="24"/>
          <w:lang w:eastAsia="es-ES"/>
        </w:rPr>
        <w:t>:</w:t>
      </w:r>
    </w:p>
    <w:p w14:paraId="45031673" w14:textId="77777777" w:rsidR="00B02B0E" w:rsidRPr="00B02B0E" w:rsidRDefault="00B02B0E" w:rsidP="00B02B0E">
      <w:pPr>
        <w:spacing w:after="0" w:line="240" w:lineRule="auto"/>
        <w:ind w:left="1782" w:right="1287"/>
        <w:jc w:val="both"/>
        <w:rPr>
          <w:rFonts w:cs="Bodoni-Book"/>
          <w:iCs/>
          <w:sz w:val="24"/>
          <w:szCs w:val="24"/>
          <w:lang w:eastAsia="es-ES"/>
        </w:rPr>
      </w:pPr>
      <w:r w:rsidRPr="00B02B0E">
        <w:rPr>
          <w:rFonts w:cs="Bodoni-Book"/>
          <w:iCs/>
          <w:sz w:val="24"/>
          <w:szCs w:val="24"/>
          <w:lang w:eastAsia="es-ES"/>
        </w:rPr>
        <w:t>Serra da Groba (cod. NAT055)</w:t>
      </w:r>
    </w:p>
    <w:p w14:paraId="228117E4" w14:textId="77777777" w:rsidR="00B02B0E" w:rsidRPr="00B02B0E" w:rsidRDefault="00B02B0E" w:rsidP="00B02B0E">
      <w:pPr>
        <w:spacing w:after="0" w:line="240" w:lineRule="auto"/>
        <w:ind w:left="1782" w:right="1287"/>
        <w:jc w:val="both"/>
        <w:rPr>
          <w:rFonts w:cs="Bodoni-Book"/>
          <w:iCs/>
          <w:sz w:val="24"/>
          <w:szCs w:val="24"/>
          <w:lang w:eastAsia="es-ES"/>
        </w:rPr>
      </w:pPr>
      <w:r w:rsidRPr="00B02B0E">
        <w:rPr>
          <w:rFonts w:cs="Bodoni-Book"/>
          <w:iCs/>
          <w:sz w:val="24"/>
          <w:szCs w:val="24"/>
          <w:lang w:eastAsia="es-ES"/>
        </w:rPr>
        <w:t>Sendeiro das Greas (GR 58)</w:t>
      </w:r>
    </w:p>
    <w:p w14:paraId="4D7E3EB3" w14:textId="77777777" w:rsidR="00B02B0E" w:rsidRPr="00B02B0E" w:rsidRDefault="00B02B0E" w:rsidP="00B02B0E">
      <w:pPr>
        <w:suppressAutoHyphens/>
        <w:autoSpaceDN w:val="0"/>
        <w:spacing w:before="120" w:after="0" w:line="240" w:lineRule="auto"/>
        <w:ind w:left="151"/>
        <w:jc w:val="both"/>
        <w:rPr>
          <w:rFonts w:ascii="Times New Roman" w:eastAsia="SimSun" w:hAnsi="Times New Roman" w:cs="Arial"/>
          <w:kern w:val="3"/>
          <w:sz w:val="24"/>
          <w:szCs w:val="24"/>
          <w:lang w:eastAsia="zh-CN" w:bidi="hi-IN"/>
        </w:rPr>
      </w:pPr>
      <w:r w:rsidRPr="00B02B0E">
        <w:rPr>
          <w:rFonts w:eastAsia="SimSun" w:cs="Arial"/>
          <w:kern w:val="3"/>
          <w:sz w:val="24"/>
          <w:szCs w:val="24"/>
          <w:lang w:eastAsia="zh-CN" w:bidi="hi-IN"/>
        </w:rPr>
        <w:t xml:space="preserve">O proxecto eólico Torroña I invadiría  o núcleo central da </w:t>
      </w:r>
      <w:r w:rsidRPr="00B02B0E">
        <w:rPr>
          <w:rFonts w:eastAsia="SimSun" w:cs="Arial"/>
          <w:b/>
          <w:bCs/>
          <w:kern w:val="3"/>
          <w:sz w:val="24"/>
          <w:szCs w:val="24"/>
          <w:lang w:eastAsia="zh-CN" w:bidi="hi-IN"/>
        </w:rPr>
        <w:t>AEIP_06_09 Serra da Groba</w:t>
      </w:r>
      <w:r w:rsidRPr="00B02B0E">
        <w:rPr>
          <w:rFonts w:eastAsia="SimSun" w:cs="Arial"/>
          <w:kern w:val="3"/>
          <w:sz w:val="24"/>
          <w:szCs w:val="24"/>
          <w:lang w:eastAsia="zh-CN" w:bidi="hi-IN"/>
        </w:rPr>
        <w:t xml:space="preserve">, nomeadamente as  áreas de maior altitude, paisaxisticamente as máis vulnerabeis. e sitúanse a escasos metros da </w:t>
      </w:r>
      <w:r w:rsidRPr="00B02B0E">
        <w:rPr>
          <w:rFonts w:eastAsia="SimSun" w:cs="Arial"/>
          <w:b/>
          <w:bCs/>
          <w:kern w:val="3"/>
          <w:sz w:val="24"/>
          <w:szCs w:val="24"/>
          <w:lang w:eastAsia="zh-CN" w:bidi="hi-IN"/>
        </w:rPr>
        <w:t>AEIP_06_09 Serra da Groba</w:t>
      </w:r>
      <w:r w:rsidRPr="00B02B0E">
        <w:rPr>
          <w:rFonts w:eastAsia="SimSun" w:cs="Arial"/>
          <w:kern w:val="3"/>
          <w:sz w:val="24"/>
          <w:szCs w:val="24"/>
          <w:lang w:eastAsia="zh-CN" w:bidi="hi-IN"/>
        </w:rPr>
        <w:t xml:space="preserve">. </w:t>
      </w:r>
    </w:p>
    <w:p w14:paraId="7F382DB1" w14:textId="77777777" w:rsidR="00B02B0E" w:rsidRPr="00B02B0E" w:rsidRDefault="00B02B0E" w:rsidP="00B02B0E">
      <w:pPr>
        <w:spacing w:before="120" w:after="0" w:line="240" w:lineRule="auto"/>
        <w:ind w:left="151" w:right="-1"/>
        <w:jc w:val="both"/>
        <w:rPr>
          <w:sz w:val="24"/>
          <w:szCs w:val="24"/>
        </w:rPr>
      </w:pPr>
      <w:r w:rsidRPr="00B02B0E">
        <w:rPr>
          <w:sz w:val="24"/>
          <w:szCs w:val="24"/>
        </w:rPr>
        <w:t>Mais sería sobre todo na proximidade, na contemplación directa e cercana dunha paisaxe ancestral e aberta, caracterizada polo relevo suave dos planaltos ou chans de altitude, salpicados de charcas estacionais; por unhas comunidades herbáceas e de monte baixo nun excelente estado de conservación e plenas de biodiversidade, moldeadas pola acción milenaria dos cabalos salvaxes; por un manexo cultural do territorio que favoreceu o hábitat do garrano e dunha gandeiría en réxime extensivo; por unhas pradarías naturais que mostran na estación invernal un verdor deslumbrante; por unha xeografía máxica e un patrimonio inmaterial habitado por seres como as “</w:t>
      </w:r>
      <w:r w:rsidRPr="00B02B0E">
        <w:rPr>
          <w:i/>
          <w:iCs/>
          <w:sz w:val="24"/>
          <w:szCs w:val="24"/>
        </w:rPr>
        <w:t>adobadouras</w:t>
      </w:r>
      <w:r w:rsidRPr="00B02B0E">
        <w:rPr>
          <w:sz w:val="24"/>
          <w:szCs w:val="24"/>
        </w:rPr>
        <w:t xml:space="preserve">” – seres míticos femininos - e o </w:t>
      </w:r>
      <w:r w:rsidRPr="00B02B0E">
        <w:rPr>
          <w:i/>
          <w:iCs/>
          <w:sz w:val="24"/>
          <w:szCs w:val="24"/>
        </w:rPr>
        <w:t>tardo</w:t>
      </w:r>
      <w:r w:rsidRPr="00B02B0E">
        <w:rPr>
          <w:sz w:val="24"/>
          <w:szCs w:val="24"/>
        </w:rPr>
        <w:t>. Sería na cercanía onde o impacto paisaxístico do parque eólico resultaría demoledor.</w:t>
      </w:r>
    </w:p>
    <w:p w14:paraId="293DE93F" w14:textId="77777777" w:rsidR="00B02B0E" w:rsidRPr="00B02B0E" w:rsidRDefault="00B02B0E" w:rsidP="00B02B0E">
      <w:pPr>
        <w:suppressAutoHyphens/>
        <w:autoSpaceDN w:val="0"/>
        <w:spacing w:before="120" w:after="0" w:line="240" w:lineRule="auto"/>
        <w:ind w:left="151"/>
        <w:jc w:val="both"/>
        <w:rPr>
          <w:rFonts w:ascii="Times New Roman" w:eastAsia="SimSun" w:hAnsi="Times New Roman" w:cs="Arial"/>
          <w:kern w:val="3"/>
          <w:sz w:val="24"/>
          <w:szCs w:val="24"/>
          <w:lang w:eastAsia="zh-CN" w:bidi="hi-IN"/>
        </w:rPr>
      </w:pPr>
      <w:r w:rsidRPr="00B02B0E">
        <w:rPr>
          <w:rFonts w:eastAsia="SimSun" w:cs="Arial"/>
          <w:kern w:val="3"/>
          <w:sz w:val="24"/>
          <w:szCs w:val="24"/>
          <w:lang w:eastAsia="zh-CN" w:bidi="hi-IN"/>
        </w:rPr>
        <w:t xml:space="preserve">A publicación </w:t>
      </w:r>
      <w:r w:rsidRPr="00B02B0E">
        <w:rPr>
          <w:rFonts w:eastAsia="SimSun" w:cs="Arial"/>
          <w:i/>
          <w:iCs/>
          <w:kern w:val="3"/>
          <w:sz w:val="24"/>
          <w:szCs w:val="24"/>
          <w:lang w:eastAsia="zh-CN" w:bidi="hi-IN"/>
        </w:rPr>
        <w:t>Catálogo das Paisaxes de Galicia. Grande Área Paisaxística Costa Sur-Baixo Miño</w:t>
      </w:r>
      <w:r w:rsidRPr="00B02B0E">
        <w:rPr>
          <w:rFonts w:eastAsia="SimSun" w:cs="Arial"/>
          <w:kern w:val="3"/>
          <w:sz w:val="24"/>
          <w:szCs w:val="24"/>
          <w:lang w:eastAsia="zh-CN" w:bidi="hi-IN"/>
        </w:rPr>
        <w:t>, da Xunta de Galicia e o Instituto de Estudos do Territorio, menciona en varias pasaxes a serra da Groba, destacando a prominencia do seu relevo, a singularidade que esta serra lle confire á rasa litoral que se estende desde Baiona até A Guarda, a impronta da gandeiría extensiva na serra e os seus valores estéticos, que califica de “únicos”:</w:t>
      </w:r>
    </w:p>
    <w:p w14:paraId="4729D8CC" w14:textId="77777777" w:rsidR="00B02B0E" w:rsidRPr="00B02B0E" w:rsidRDefault="00B02B0E" w:rsidP="00B02B0E">
      <w:pPr>
        <w:numPr>
          <w:ilvl w:val="0"/>
          <w:numId w:val="39"/>
        </w:numPr>
        <w:suppressAutoHyphens/>
        <w:autoSpaceDN w:val="0"/>
        <w:spacing w:before="120" w:after="0" w:line="240" w:lineRule="auto"/>
        <w:ind w:left="576" w:firstLine="0"/>
        <w:jc w:val="both"/>
        <w:rPr>
          <w:rFonts w:eastAsia="SimSun" w:cs="Arial"/>
          <w:kern w:val="3"/>
          <w:sz w:val="24"/>
          <w:szCs w:val="24"/>
          <w:lang w:eastAsia="zh-CN" w:bidi="hi-IN"/>
        </w:rPr>
      </w:pPr>
      <w:r w:rsidRPr="00B02B0E">
        <w:rPr>
          <w:rFonts w:eastAsia="SimSun" w:cs="Arial"/>
          <w:kern w:val="3"/>
          <w:sz w:val="24"/>
          <w:szCs w:val="24"/>
          <w:lang w:eastAsia="zh-CN" w:bidi="hi-IN"/>
        </w:rPr>
        <w:t>“</w:t>
      </w:r>
      <w:r w:rsidRPr="00B02B0E">
        <w:rPr>
          <w:rFonts w:eastAsia="SimSun" w:cs="Arial"/>
          <w:i/>
          <w:iCs/>
          <w:kern w:val="3"/>
          <w:sz w:val="24"/>
          <w:szCs w:val="24"/>
          <w:lang w:eastAsia="zh-CN" w:bidi="hi-IN"/>
        </w:rPr>
        <w:t>O relevo das comarcas Costa Sur-Baixo Miño Litoral e o Baixo Miño Interior está dominado pola Serra da Groba ao oeste, presentando fortes pendentes cara ao mar, e a Serra de Argallo na súa parte suroest</w:t>
      </w:r>
      <w:r w:rsidRPr="00B02B0E">
        <w:rPr>
          <w:rFonts w:eastAsia="SimSun" w:cs="Arial"/>
          <w:kern w:val="3"/>
          <w:sz w:val="24"/>
          <w:szCs w:val="24"/>
          <w:lang w:eastAsia="zh-CN" w:bidi="hi-IN"/>
        </w:rPr>
        <w:t>e”.</w:t>
      </w:r>
    </w:p>
    <w:p w14:paraId="2B6EEBD1" w14:textId="77777777" w:rsidR="00B02B0E" w:rsidRPr="00B02B0E" w:rsidRDefault="00B02B0E" w:rsidP="00B02B0E">
      <w:pPr>
        <w:numPr>
          <w:ilvl w:val="0"/>
          <w:numId w:val="39"/>
        </w:numPr>
        <w:suppressAutoHyphens/>
        <w:autoSpaceDN w:val="0"/>
        <w:spacing w:before="120" w:after="0" w:line="240" w:lineRule="auto"/>
        <w:ind w:left="576" w:firstLine="0"/>
        <w:jc w:val="both"/>
        <w:rPr>
          <w:rFonts w:eastAsia="SimSun" w:cs="Arial"/>
          <w:kern w:val="3"/>
          <w:sz w:val="24"/>
          <w:szCs w:val="24"/>
          <w:lang w:eastAsia="zh-CN" w:bidi="hi-IN"/>
        </w:rPr>
      </w:pPr>
      <w:r w:rsidRPr="00B02B0E">
        <w:rPr>
          <w:rFonts w:eastAsia="SimSun" w:cs="Arial"/>
          <w:kern w:val="3"/>
          <w:sz w:val="24"/>
          <w:szCs w:val="24"/>
          <w:lang w:eastAsia="zh-CN" w:bidi="hi-IN"/>
        </w:rPr>
        <w:lastRenderedPageBreak/>
        <w:t>“A cornixa topográfica lineal dos montes de Oia e a Serra da Groba, que configuran un tipo de costa único en Galicia”.</w:t>
      </w:r>
    </w:p>
    <w:p w14:paraId="5959855E" w14:textId="77777777" w:rsidR="00B02B0E" w:rsidRPr="00B02B0E" w:rsidRDefault="00B02B0E" w:rsidP="00B02B0E">
      <w:pPr>
        <w:numPr>
          <w:ilvl w:val="0"/>
          <w:numId w:val="39"/>
        </w:numPr>
        <w:suppressAutoHyphens/>
        <w:autoSpaceDN w:val="0"/>
        <w:spacing w:before="120" w:after="0" w:line="240" w:lineRule="auto"/>
        <w:ind w:left="576" w:firstLine="0"/>
        <w:jc w:val="both"/>
        <w:rPr>
          <w:rFonts w:eastAsia="SimSun" w:cs="Arial"/>
          <w:kern w:val="3"/>
          <w:sz w:val="24"/>
          <w:szCs w:val="24"/>
          <w:lang w:eastAsia="zh-CN" w:bidi="hi-IN"/>
        </w:rPr>
      </w:pPr>
      <w:r w:rsidRPr="00B02B0E">
        <w:rPr>
          <w:rFonts w:eastAsia="SimSun" w:cs="Arial"/>
          <w:kern w:val="3"/>
          <w:sz w:val="24"/>
          <w:szCs w:val="24"/>
          <w:lang w:eastAsia="zh-CN" w:bidi="hi-IN"/>
        </w:rPr>
        <w:t>“</w:t>
      </w:r>
      <w:r w:rsidRPr="00B02B0E">
        <w:rPr>
          <w:rFonts w:eastAsia="SimSun" w:cs="Arial"/>
          <w:i/>
          <w:iCs/>
          <w:kern w:val="3"/>
          <w:sz w:val="24"/>
          <w:szCs w:val="24"/>
          <w:lang w:eastAsia="zh-CN" w:bidi="hi-IN"/>
        </w:rPr>
        <w:t>A presenza de serras prelitorais xera que nunha área na que existen elementos dunha elevada compoñente estética (río Miño, por exemplo), primen estes espazos de serra nos que conflúen os valores intrínsecos propios destes espazos con numerosos miradoiros naturais que ofrecen amplitude de vistas sobre a franxa litoral e o océano (por exemplo, Serra da Groba)”</w:t>
      </w:r>
      <w:r w:rsidRPr="00B02B0E">
        <w:rPr>
          <w:rFonts w:eastAsia="SimSun" w:cs="Arial"/>
          <w:kern w:val="3"/>
          <w:sz w:val="24"/>
          <w:szCs w:val="24"/>
          <w:lang w:eastAsia="zh-CN" w:bidi="hi-IN"/>
        </w:rPr>
        <w:t>.</w:t>
      </w:r>
    </w:p>
    <w:p w14:paraId="5A5E5C2F" w14:textId="77777777" w:rsidR="00B02B0E" w:rsidRPr="00B02B0E" w:rsidRDefault="00B02B0E" w:rsidP="00B02B0E">
      <w:pPr>
        <w:numPr>
          <w:ilvl w:val="0"/>
          <w:numId w:val="39"/>
        </w:numPr>
        <w:suppressAutoHyphens/>
        <w:autoSpaceDN w:val="0"/>
        <w:spacing w:before="120" w:after="0" w:line="240" w:lineRule="auto"/>
        <w:ind w:left="576" w:firstLine="0"/>
        <w:jc w:val="both"/>
        <w:rPr>
          <w:rFonts w:eastAsia="SimSun" w:cs="Arial"/>
          <w:i/>
          <w:iCs/>
          <w:kern w:val="3"/>
          <w:sz w:val="24"/>
          <w:szCs w:val="24"/>
          <w:lang w:eastAsia="zh-CN" w:bidi="hi-IN"/>
        </w:rPr>
      </w:pPr>
      <w:r w:rsidRPr="00B02B0E">
        <w:rPr>
          <w:rFonts w:eastAsia="SimSun" w:cs="Arial"/>
          <w:i/>
          <w:iCs/>
          <w:kern w:val="3"/>
          <w:sz w:val="24"/>
          <w:szCs w:val="24"/>
          <w:lang w:eastAsia="zh-CN" w:bidi="hi-IN"/>
        </w:rPr>
        <w:t>“A Serra da Groba actúa como linde norte de parte desta GAP, posuíndo uns valores estéticos únicos na súa contorna, ligados ás texturas do monte baixo, mato e rochedos, que unidas á gandería extensiva practicada nas partes altas, converte a este espazo en singular”.</w:t>
      </w:r>
    </w:p>
    <w:p w14:paraId="71036CA2" w14:textId="77777777" w:rsidR="00B02B0E" w:rsidRPr="00B02B0E" w:rsidRDefault="00B02B0E" w:rsidP="00B02B0E">
      <w:pPr>
        <w:suppressAutoHyphens/>
        <w:autoSpaceDN w:val="0"/>
        <w:spacing w:before="120" w:after="0" w:line="240" w:lineRule="auto"/>
        <w:ind w:left="151"/>
        <w:jc w:val="both"/>
        <w:rPr>
          <w:rFonts w:ascii="Times New Roman" w:eastAsia="SimSun" w:hAnsi="Times New Roman" w:cs="Arial"/>
          <w:kern w:val="3"/>
          <w:sz w:val="24"/>
          <w:szCs w:val="24"/>
          <w:lang w:eastAsia="zh-CN" w:bidi="hi-IN"/>
        </w:rPr>
      </w:pPr>
      <w:r w:rsidRPr="00B02B0E">
        <w:rPr>
          <w:rFonts w:eastAsia="SimSun" w:cs="Arial"/>
          <w:kern w:val="3"/>
          <w:sz w:val="24"/>
          <w:szCs w:val="24"/>
          <w:lang w:eastAsia="zh-CN" w:bidi="hi-IN"/>
        </w:rPr>
        <w:t xml:space="preserve">Non resulta casual que esta publicación oficial teña como portada, precisamente, unha imaxe dun grupo de cabalos salvaxes a carón da Poza Negra, dentro da </w:t>
      </w:r>
      <w:r w:rsidRPr="00B02B0E">
        <w:rPr>
          <w:rFonts w:eastAsia="SimSun" w:cs="Arial"/>
          <w:i/>
          <w:iCs/>
          <w:kern w:val="3"/>
          <w:sz w:val="24"/>
          <w:szCs w:val="24"/>
          <w:lang w:eastAsia="zh-CN" w:bidi="hi-IN"/>
        </w:rPr>
        <w:t>Área de Especial Interese Paisaxístico Serra da Groba</w:t>
      </w:r>
      <w:r w:rsidRPr="00B02B0E">
        <w:rPr>
          <w:rFonts w:eastAsia="SimSun" w:cs="Arial"/>
          <w:kern w:val="3"/>
          <w:sz w:val="24"/>
          <w:szCs w:val="24"/>
          <w:lang w:eastAsia="zh-CN" w:bidi="hi-IN"/>
        </w:rPr>
        <w:t>, na área ameazada polo proxecto eólico.</w:t>
      </w:r>
    </w:p>
    <w:p w14:paraId="2B6B82D5" w14:textId="77777777" w:rsidR="00B02B0E" w:rsidRPr="00B02B0E" w:rsidRDefault="00B02B0E" w:rsidP="00B02B0E">
      <w:pPr>
        <w:spacing w:before="120" w:after="0" w:line="240" w:lineRule="auto"/>
        <w:ind w:left="151" w:right="-1"/>
        <w:jc w:val="both"/>
        <w:rPr>
          <w:rFonts w:cs="Bodoni-Book"/>
          <w:iCs/>
          <w:sz w:val="24"/>
          <w:szCs w:val="24"/>
          <w:lang w:eastAsia="es-ES"/>
        </w:rPr>
      </w:pPr>
      <w:r w:rsidRPr="00B02B0E">
        <w:rPr>
          <w:rFonts w:cs="Bodoni-Book"/>
          <w:iCs/>
          <w:sz w:val="24"/>
          <w:szCs w:val="24"/>
          <w:lang w:eastAsia="es-ES"/>
        </w:rPr>
        <w:t xml:space="preserve">O apartado 1.2 do </w:t>
      </w:r>
      <w:r w:rsidRPr="00B02B0E">
        <w:rPr>
          <w:rFonts w:cs="Bodoni-Book"/>
          <w:i/>
          <w:sz w:val="24"/>
          <w:szCs w:val="24"/>
          <w:lang w:eastAsia="es-ES"/>
        </w:rPr>
        <w:t>ANEXO I</w:t>
      </w:r>
      <w:r w:rsidRPr="00B02B0E">
        <w:rPr>
          <w:rFonts w:cs="Bodoni-Book"/>
          <w:iCs/>
          <w:sz w:val="24"/>
          <w:szCs w:val="24"/>
          <w:lang w:eastAsia="es-ES"/>
        </w:rPr>
        <w:t xml:space="preserve"> do DECRETO 238/2020 en canto aos obxectivos da calidade paisaxística (OCP) para AEIP):</w:t>
      </w:r>
    </w:p>
    <w:p w14:paraId="5686E225" w14:textId="77777777" w:rsidR="00B02B0E" w:rsidRPr="00B02B0E" w:rsidRDefault="00B02B0E" w:rsidP="00B02B0E">
      <w:pPr>
        <w:spacing w:before="120" w:after="0" w:line="240" w:lineRule="auto"/>
        <w:ind w:left="435" w:right="1287"/>
        <w:jc w:val="both"/>
        <w:rPr>
          <w:rFonts w:cs="Bodoni-Book"/>
          <w:i/>
          <w:lang w:eastAsia="es-ES"/>
        </w:rPr>
      </w:pPr>
      <w:r w:rsidRPr="00B02B0E">
        <w:rPr>
          <w:rFonts w:cs="Bodoni-Book"/>
          <w:i/>
          <w:lang w:eastAsia="es-ES"/>
        </w:rPr>
        <w:t>AEIP.1. Unos valores ecológicos preservados de manera sostenible como garante de variedad y funcionalidad ecológica, y en los que se protejan aquellos elementos constituyentes que otorgan el valor diferencial.</w:t>
      </w:r>
    </w:p>
    <w:p w14:paraId="0F9E8B33" w14:textId="77777777" w:rsidR="00B02B0E" w:rsidRPr="00B02B0E" w:rsidRDefault="00B02B0E" w:rsidP="00B02B0E">
      <w:pPr>
        <w:spacing w:before="120" w:after="0" w:line="240" w:lineRule="auto"/>
        <w:ind w:left="435" w:right="1287"/>
        <w:jc w:val="both"/>
        <w:rPr>
          <w:rFonts w:cs="Bodoni-Book"/>
          <w:i/>
          <w:lang w:eastAsia="es-ES"/>
        </w:rPr>
      </w:pPr>
      <w:r w:rsidRPr="00B02B0E">
        <w:rPr>
          <w:rFonts w:cs="Bodoni-Book"/>
          <w:i/>
          <w:lang w:eastAsia="es-ES"/>
        </w:rPr>
        <w:t>AEIP.2. Unos valores culturales o patrimoniales, sean materiales o inmateriales, preservados como elementos configuradores de los paisajes culturales, atendiendo a su relación con el territorio.</w:t>
      </w:r>
    </w:p>
    <w:p w14:paraId="504ECA44" w14:textId="77777777" w:rsidR="00B02B0E" w:rsidRPr="00B02B0E" w:rsidRDefault="00B02B0E" w:rsidP="00B02B0E">
      <w:pPr>
        <w:spacing w:before="120" w:after="0" w:line="240" w:lineRule="auto"/>
        <w:ind w:left="435" w:right="1287"/>
        <w:jc w:val="both"/>
        <w:rPr>
          <w:rFonts w:cs="Bodoni-Book"/>
          <w:i/>
          <w:lang w:eastAsia="es-ES"/>
        </w:rPr>
      </w:pPr>
      <w:r w:rsidRPr="00B02B0E">
        <w:rPr>
          <w:rFonts w:cs="Bodoni-Book"/>
          <w:i/>
          <w:lang w:eastAsia="es-ES"/>
        </w:rPr>
        <w:t>AEIP.3. Unos valores estéticos o panorámicos protegidos mediante el mantenimiento de las condiciones perceptivas vinculadas a los fondos escénicos, a la amplitud de vistas y a la matriz compositiva propia del paisaje autóctono.</w:t>
      </w:r>
    </w:p>
    <w:p w14:paraId="79B26904" w14:textId="77777777" w:rsidR="00B02B0E" w:rsidRPr="00B02B0E" w:rsidRDefault="00B02B0E" w:rsidP="00B02B0E">
      <w:pPr>
        <w:spacing w:before="120" w:after="0" w:line="240" w:lineRule="auto"/>
        <w:ind w:left="151" w:right="1287"/>
        <w:jc w:val="both"/>
        <w:rPr>
          <w:rFonts w:cs="Bodoni-Book"/>
          <w:iCs/>
          <w:sz w:val="24"/>
          <w:szCs w:val="24"/>
          <w:lang w:eastAsia="es-ES"/>
        </w:rPr>
      </w:pPr>
      <w:r w:rsidRPr="00B02B0E">
        <w:rPr>
          <w:rFonts w:cs="Bodoni-Book"/>
          <w:iCs/>
          <w:sz w:val="24"/>
          <w:szCs w:val="24"/>
          <w:lang w:eastAsia="es-ES"/>
        </w:rPr>
        <w:t>No apartado 1.4. OCP para actuación e elementos caracterizadores da paisaxe:</w:t>
      </w:r>
    </w:p>
    <w:p w14:paraId="4C73C83F" w14:textId="77777777" w:rsidR="00B02B0E" w:rsidRPr="00B02B0E" w:rsidRDefault="00B02B0E" w:rsidP="00B02B0E">
      <w:pPr>
        <w:spacing w:before="120" w:after="0" w:line="240" w:lineRule="auto"/>
        <w:ind w:left="435" w:right="1287"/>
        <w:jc w:val="both"/>
        <w:rPr>
          <w:rFonts w:cs="Bodoni-Book"/>
          <w:i/>
          <w:lang w:eastAsia="es-ES"/>
        </w:rPr>
      </w:pPr>
      <w:r w:rsidRPr="00B02B0E">
        <w:rPr>
          <w:rFonts w:cs="Bodoni-Book"/>
          <w:i/>
          <w:lang w:eastAsia="es-ES"/>
        </w:rPr>
        <w:t>Parques eólicos.</w:t>
      </w:r>
    </w:p>
    <w:p w14:paraId="10D5F43A" w14:textId="77777777" w:rsidR="00B02B0E" w:rsidRPr="00B02B0E" w:rsidRDefault="00B02B0E" w:rsidP="00B02B0E">
      <w:pPr>
        <w:spacing w:before="120" w:after="0" w:line="240" w:lineRule="auto"/>
        <w:ind w:left="435" w:right="1287"/>
        <w:jc w:val="both"/>
        <w:rPr>
          <w:rFonts w:cs="Bodoni-Book"/>
          <w:i/>
          <w:lang w:eastAsia="es-ES"/>
        </w:rPr>
      </w:pPr>
      <w:r w:rsidRPr="00B02B0E">
        <w:rPr>
          <w:rFonts w:cs="Bodoni-Book"/>
          <w:i/>
          <w:lang w:eastAsia="es-ES"/>
        </w:rPr>
        <w:t>– Unas instalaciones de energía eólica diseñadas de manera que respeten el carácter propio del paisaje existente, implantadas según la geomorfología de la localización y minimizando su impacto en el entorno natural y el paisaje, así como la visibilidad desde las vías de circulación y los núcleos de población.</w:t>
      </w:r>
    </w:p>
    <w:p w14:paraId="7B0718A7" w14:textId="77777777" w:rsidR="00B02B0E" w:rsidRPr="00B02B0E" w:rsidRDefault="00B02B0E" w:rsidP="00B02B0E">
      <w:pPr>
        <w:spacing w:before="120" w:after="0" w:line="240" w:lineRule="auto"/>
        <w:ind w:left="435" w:right="1287"/>
        <w:jc w:val="both"/>
        <w:rPr>
          <w:rFonts w:cs="Bodoni-Book"/>
          <w:i/>
          <w:lang w:eastAsia="es-ES"/>
        </w:rPr>
      </w:pPr>
      <w:r w:rsidRPr="00B02B0E">
        <w:rPr>
          <w:rFonts w:cs="Bodoni-Book"/>
          <w:i/>
          <w:lang w:eastAsia="es-ES"/>
        </w:rPr>
        <w:t>– Unos parques eólicos compatibles con otros usos productivos potenciadores de la sostenibilidad natural, económica y social del entorno en el que se insertan.</w:t>
      </w:r>
    </w:p>
    <w:p w14:paraId="5A49B8BA" w14:textId="77777777" w:rsidR="00B02B0E" w:rsidRPr="00B02B0E" w:rsidRDefault="00B02B0E" w:rsidP="00B02B0E">
      <w:pPr>
        <w:spacing w:before="120" w:after="0" w:line="240" w:lineRule="auto"/>
        <w:ind w:left="151" w:right="-1"/>
        <w:jc w:val="both"/>
        <w:rPr>
          <w:rFonts w:cs="Bodoni-Book"/>
          <w:iCs/>
          <w:lang w:eastAsia="es-ES"/>
        </w:rPr>
      </w:pPr>
      <w:r w:rsidRPr="00B02B0E">
        <w:rPr>
          <w:rFonts w:cs="Bodoni-Book"/>
          <w:iCs/>
          <w:lang w:eastAsia="es-ES"/>
        </w:rPr>
        <w:t>Apartado 1.5.6. OCP para Costa Sur-Baixo Miño:</w:t>
      </w:r>
    </w:p>
    <w:p w14:paraId="59408D5D" w14:textId="77777777" w:rsidR="00B02B0E" w:rsidRPr="00B02B0E" w:rsidRDefault="00B02B0E" w:rsidP="00B02B0E">
      <w:pPr>
        <w:spacing w:before="120" w:after="0" w:line="240" w:lineRule="auto"/>
        <w:ind w:left="435" w:right="1287"/>
        <w:jc w:val="both"/>
        <w:rPr>
          <w:rFonts w:cs="Bodoni-Book"/>
          <w:i/>
          <w:lang w:eastAsia="es-ES"/>
        </w:rPr>
      </w:pPr>
      <w:r w:rsidRPr="00B02B0E">
        <w:rPr>
          <w:rFonts w:cs="Bodoni-Book"/>
          <w:i/>
          <w:lang w:eastAsia="es-ES"/>
        </w:rPr>
        <w:t>5B_4. Un mosaico agroforestal gestionado en la búsqueda de explotaciones forestales y agroganaderas eficientes y sostenibles, en el que se mantenga la diversidad estética y textural propia de este paisaje.</w:t>
      </w:r>
    </w:p>
    <w:p w14:paraId="1C7C01CD" w14:textId="77777777" w:rsidR="00B02B0E" w:rsidRPr="00B02B0E" w:rsidRDefault="00B02B0E" w:rsidP="00B02B0E">
      <w:pPr>
        <w:spacing w:before="120" w:after="0" w:line="240" w:lineRule="auto"/>
        <w:ind w:left="435" w:right="1287"/>
        <w:jc w:val="both"/>
        <w:rPr>
          <w:rFonts w:cs="Bodoni-Book"/>
          <w:i/>
          <w:lang w:eastAsia="es-ES"/>
        </w:rPr>
      </w:pPr>
      <w:r w:rsidRPr="00B02B0E">
        <w:rPr>
          <w:rFonts w:cs="Bodoni-Book"/>
          <w:i/>
          <w:lang w:eastAsia="es-ES"/>
        </w:rPr>
        <w:t>6B_4. Unas plantaciones forestales en las que se armonice una silvicultura productiva, gestionada por los instrumentos de planificación forestal, con un paisaje de calidad.</w:t>
      </w:r>
    </w:p>
    <w:p w14:paraId="5C5DE738" w14:textId="77777777" w:rsidR="00B02B0E" w:rsidRPr="00B02B0E" w:rsidRDefault="00B02B0E" w:rsidP="00B02B0E">
      <w:pPr>
        <w:spacing w:before="120" w:after="0" w:line="240" w:lineRule="auto"/>
        <w:ind w:left="435" w:right="1287"/>
        <w:jc w:val="both"/>
        <w:rPr>
          <w:rFonts w:cs="Bodoni-Book"/>
          <w:i/>
          <w:lang w:eastAsia="es-ES"/>
        </w:rPr>
      </w:pPr>
      <w:r w:rsidRPr="00B02B0E">
        <w:rPr>
          <w:rFonts w:cs="Bodoni-Book"/>
          <w:i/>
          <w:lang w:eastAsia="es-ES"/>
        </w:rPr>
        <w:t xml:space="preserve">2C_3. Unos matorrales y turberas en las sierras que, en el caso de atesorar un especial valor natural, conserven sus condiciones ecológicas y topográficas primitivas. Una variedad morfológica, textural y cromática preservada en la </w:t>
      </w:r>
      <w:r w:rsidRPr="00B02B0E">
        <w:rPr>
          <w:rFonts w:cs="Bodoni-Book"/>
          <w:i/>
          <w:lang w:eastAsia="es-ES"/>
        </w:rPr>
        <w:lastRenderedPageBreak/>
        <w:t>búsqueda del mantenimiento de sus valores naturales, estéticos y productivos ligados al ámbito de sierra.</w:t>
      </w:r>
    </w:p>
    <w:p w14:paraId="197C2FB4" w14:textId="77777777" w:rsidR="00B02B0E" w:rsidRPr="00B02B0E" w:rsidRDefault="00B02B0E" w:rsidP="00B02B0E">
      <w:pPr>
        <w:spacing w:before="120" w:after="0" w:line="240" w:lineRule="auto"/>
        <w:ind w:left="435" w:right="1287"/>
        <w:jc w:val="both"/>
        <w:rPr>
          <w:rFonts w:cs="Bodoni-Book"/>
          <w:i/>
          <w:lang w:eastAsia="es-ES"/>
        </w:rPr>
      </w:pPr>
      <w:r w:rsidRPr="00B02B0E">
        <w:rPr>
          <w:rFonts w:cs="Bodoni-Book"/>
          <w:i/>
          <w:lang w:eastAsia="es-ES"/>
        </w:rPr>
        <w:t>5C_4. Unos mosaicos agroforestales en las sierras que mantengan un paisaje agrario de calidad variada.</w:t>
      </w:r>
    </w:p>
    <w:p w14:paraId="4C3ED67F" w14:textId="77777777" w:rsidR="00B02B0E" w:rsidRPr="00B02B0E" w:rsidRDefault="00B02B0E" w:rsidP="00B02B0E">
      <w:pPr>
        <w:spacing w:before="120" w:after="0" w:line="240" w:lineRule="auto"/>
        <w:ind w:left="435" w:right="1287"/>
        <w:jc w:val="both"/>
        <w:rPr>
          <w:rFonts w:cs="Bodoni-Book"/>
          <w:i/>
          <w:lang w:eastAsia="es-ES"/>
        </w:rPr>
      </w:pPr>
      <w:r w:rsidRPr="00B02B0E">
        <w:rPr>
          <w:rFonts w:cs="Bodoni-Book"/>
          <w:i/>
          <w:lang w:eastAsia="es-ES"/>
        </w:rPr>
        <w:t>6C_4. Unas plantaciones forestales en las sierras con diversidad textural y de especies, gestionadas por instrumentos de gestión forestal que contribuyan a su riqueza paisajística.</w:t>
      </w:r>
    </w:p>
    <w:p w14:paraId="21B79244" w14:textId="77777777" w:rsidR="00B02B0E" w:rsidRPr="00B02B0E" w:rsidRDefault="00B02B0E" w:rsidP="00B02B0E">
      <w:pPr>
        <w:spacing w:before="120" w:after="0" w:line="240" w:lineRule="auto"/>
        <w:ind w:left="435" w:right="1287"/>
        <w:jc w:val="both"/>
        <w:rPr>
          <w:rFonts w:cs="Bodoni-Book"/>
          <w:i/>
          <w:lang w:eastAsia="es-ES"/>
        </w:rPr>
      </w:pPr>
      <w:r w:rsidRPr="00B02B0E">
        <w:rPr>
          <w:rFonts w:cs="Bodoni-Book"/>
          <w:i/>
          <w:lang w:eastAsia="es-ES"/>
        </w:rPr>
        <w:t>Unidades de paisaje con tipos de paisaje: Matorral y roquedo o turberas y brezales húmedos en sierras.</w:t>
      </w:r>
    </w:p>
    <w:p w14:paraId="1A730329" w14:textId="77777777" w:rsidR="00B02B0E" w:rsidRPr="00B02B0E" w:rsidRDefault="00B02B0E" w:rsidP="00B02B0E">
      <w:pPr>
        <w:spacing w:before="120" w:after="0" w:line="240" w:lineRule="auto"/>
        <w:ind w:left="435" w:right="1287"/>
        <w:jc w:val="both"/>
        <w:rPr>
          <w:rFonts w:cs="Bodoni-Book"/>
          <w:i/>
          <w:lang w:eastAsia="es-ES"/>
        </w:rPr>
      </w:pPr>
      <w:r w:rsidRPr="00B02B0E">
        <w:rPr>
          <w:rFonts w:cs="Bodoni-Book"/>
          <w:i/>
          <w:lang w:eastAsia="es-ES"/>
        </w:rPr>
        <w:t>2C_3_1. Unos matorrales, roquedos y turberas en las sierras bien estructuradas ecológicamente, resilientes, sin procesos erosivos y que conserven la morfología y vegetación propia de su ambiente, sin presencia de especies alóctonas e invasoras. Unos ámbitos naturales que compatibilicen su función ecológica con el mantenimiento de sus valores estéticos y productivos frente a las principales amenazas de este tipo de paisaje: abandono, incendios, erosión y especies invasoras.</w:t>
      </w:r>
    </w:p>
    <w:p w14:paraId="494D082C" w14:textId="77777777" w:rsidR="00B02B0E" w:rsidRPr="00B02B0E" w:rsidRDefault="00B02B0E" w:rsidP="00B02B0E">
      <w:pPr>
        <w:spacing w:before="120" w:after="0" w:line="240" w:lineRule="auto"/>
        <w:ind w:left="435" w:right="1287"/>
        <w:jc w:val="both"/>
        <w:rPr>
          <w:rFonts w:cs="Bodoni-Book"/>
          <w:i/>
          <w:lang w:eastAsia="es-ES"/>
        </w:rPr>
      </w:pPr>
      <w:r w:rsidRPr="00B02B0E">
        <w:rPr>
          <w:rFonts w:cs="Bodoni-Book"/>
          <w:i/>
          <w:lang w:eastAsia="es-ES"/>
        </w:rPr>
        <w:t>Unidades de paisaje con tipo de paisaje: borde litoral.</w:t>
      </w:r>
    </w:p>
    <w:p w14:paraId="2B3F5661" w14:textId="77777777" w:rsidR="00B02B0E" w:rsidRPr="00B02B0E" w:rsidRDefault="00B02B0E" w:rsidP="00B02B0E">
      <w:pPr>
        <w:spacing w:before="120" w:after="0" w:line="240" w:lineRule="auto"/>
        <w:ind w:left="435" w:right="1287"/>
        <w:jc w:val="both"/>
        <w:rPr>
          <w:rFonts w:cs="Bodoni-Book"/>
          <w:i/>
          <w:lang w:eastAsia="es-ES"/>
        </w:rPr>
      </w:pPr>
      <w:r w:rsidRPr="00B02B0E">
        <w:rPr>
          <w:rFonts w:cs="Bodoni-Book"/>
          <w:i/>
          <w:lang w:eastAsia="es-ES"/>
        </w:rPr>
        <w:t>13_3_3. Unas vistas de los paisajes marinos y de las rías que conserven las características y los valores paisajísticos naturales, panorámicos, estéticos y de uso propios de estas.</w:t>
      </w:r>
    </w:p>
    <w:p w14:paraId="37E18B46" w14:textId="77777777" w:rsidR="00B02B0E" w:rsidRPr="00B02B0E" w:rsidRDefault="00B02B0E" w:rsidP="00B02B0E">
      <w:pPr>
        <w:spacing w:before="120" w:after="0" w:line="240" w:lineRule="auto"/>
        <w:ind w:left="435" w:right="1287"/>
        <w:jc w:val="both"/>
        <w:rPr>
          <w:rFonts w:cs="Bodoni-Book"/>
          <w:i/>
          <w:lang w:eastAsia="es-ES"/>
        </w:rPr>
      </w:pPr>
      <w:r w:rsidRPr="00B02B0E">
        <w:rPr>
          <w:rFonts w:cs="Bodoni-Book"/>
          <w:i/>
          <w:lang w:eastAsia="es-ES"/>
        </w:rPr>
        <w:t>Unidades de paisaje con tipo de paisaje: agrosistema intensivo (mosaico agroforestal) en sierras.</w:t>
      </w:r>
    </w:p>
    <w:p w14:paraId="62A8D392" w14:textId="77777777" w:rsidR="00B02B0E" w:rsidRPr="00B02B0E" w:rsidRDefault="00B02B0E" w:rsidP="00B02B0E">
      <w:pPr>
        <w:spacing w:before="120" w:after="0" w:line="240" w:lineRule="auto"/>
        <w:ind w:left="435" w:right="1287"/>
        <w:jc w:val="both"/>
        <w:rPr>
          <w:rFonts w:cs="Bodoni-Book"/>
          <w:i/>
          <w:lang w:eastAsia="es-ES"/>
        </w:rPr>
      </w:pPr>
      <w:r w:rsidRPr="00B02B0E">
        <w:rPr>
          <w:rFonts w:cs="Bodoni-Book"/>
          <w:i/>
          <w:lang w:eastAsia="es-ES"/>
        </w:rPr>
        <w:t>5C_4_1. Un agrosistema intensivo de mosaico agroforestal en la sierra en el que los diferentes usos se localicen en las zonas más aptas para los mismos, teniendo en cuenta criterios de aptitud y garantizando simultáneamente un paisaje agrario de calidad. Ámbitos en los que coexistan armónicamente los diferentes usos, flora y fauna, manteniendo los elementos estructurantes propios de la gestión tradicional de estos espacios.</w:t>
      </w:r>
    </w:p>
    <w:p w14:paraId="01C96B66" w14:textId="77777777" w:rsidR="00B02B0E" w:rsidRPr="00B02B0E" w:rsidRDefault="00B02B0E" w:rsidP="00B02B0E">
      <w:pPr>
        <w:spacing w:before="120" w:after="0" w:line="240" w:lineRule="auto"/>
        <w:ind w:left="151" w:right="1287"/>
        <w:jc w:val="both"/>
        <w:rPr>
          <w:rFonts w:cs="Bodoni-Book"/>
          <w:iCs/>
          <w:lang w:eastAsia="es-ES"/>
        </w:rPr>
      </w:pPr>
      <w:r w:rsidRPr="00B02B0E">
        <w:rPr>
          <w:rFonts w:cs="Bodoni-Book"/>
          <w:iCs/>
          <w:lang w:eastAsia="es-ES"/>
        </w:rPr>
        <w:t>Apartado 1.5.8. OCP para Rías -Baixas:</w:t>
      </w:r>
    </w:p>
    <w:p w14:paraId="2729D5FD" w14:textId="77777777" w:rsidR="00B02B0E" w:rsidRPr="00B02B0E" w:rsidRDefault="00B02B0E" w:rsidP="00B02B0E">
      <w:pPr>
        <w:spacing w:before="120" w:after="0" w:line="240" w:lineRule="auto"/>
        <w:ind w:left="435" w:right="1287"/>
        <w:jc w:val="both"/>
        <w:rPr>
          <w:rFonts w:cs="Bodoni-Book"/>
          <w:i/>
          <w:lang w:eastAsia="es-ES"/>
        </w:rPr>
      </w:pPr>
      <w:r w:rsidRPr="00B02B0E">
        <w:rPr>
          <w:rFonts w:cs="Bodoni-Book"/>
          <w:i/>
          <w:lang w:eastAsia="es-ES"/>
        </w:rPr>
        <w:t>2B_3. Unos matorrales en las que se compagine la actividad productiva agropecuaria propia de las llanuras y de los valles con la preservación de su ecosistema y la protección de los ámbitos de alto valor ecológico.</w:t>
      </w:r>
    </w:p>
    <w:p w14:paraId="0B030BA7" w14:textId="77777777" w:rsidR="00B02B0E" w:rsidRPr="00B02B0E" w:rsidRDefault="00B02B0E" w:rsidP="00B02B0E">
      <w:pPr>
        <w:spacing w:before="120" w:after="0" w:line="240" w:lineRule="auto"/>
        <w:ind w:left="435" w:right="1287"/>
        <w:jc w:val="both"/>
        <w:rPr>
          <w:rFonts w:cs="Bodoni-Book"/>
          <w:i/>
          <w:lang w:eastAsia="es-ES"/>
        </w:rPr>
      </w:pPr>
      <w:r w:rsidRPr="00B02B0E">
        <w:rPr>
          <w:rFonts w:cs="Bodoni-Book"/>
          <w:i/>
          <w:lang w:eastAsia="es-ES"/>
        </w:rPr>
        <w:t>2C_3. Unos matorrales y turberas en las sierras que, en el caso de atesorar un especial valor natural, conserven sus condiciones ecológicas y topográficas primitivas. Una variedad morfológica, textural y cromática preservada en la búsqueda del mantenimiento de sus valores naturales, estéticos y productivos ligados al ámbito de sierra.</w:t>
      </w:r>
    </w:p>
    <w:p w14:paraId="0EE2CDC1" w14:textId="77777777" w:rsidR="00B02B0E" w:rsidRPr="00B02B0E" w:rsidRDefault="00B02B0E" w:rsidP="00B02B0E">
      <w:pPr>
        <w:pBdr>
          <w:top w:val="single" w:sz="4" w:space="1" w:color="auto"/>
          <w:left w:val="single" w:sz="4" w:space="4" w:color="auto"/>
          <w:bottom w:val="single" w:sz="4" w:space="1" w:color="auto"/>
          <w:right w:val="single" w:sz="4" w:space="4" w:color="auto"/>
        </w:pBdr>
        <w:spacing w:before="120" w:after="0" w:line="240" w:lineRule="auto"/>
        <w:ind w:left="151" w:right="-1"/>
        <w:jc w:val="both"/>
        <w:rPr>
          <w:rFonts w:cs="Bodoni-Book"/>
          <w:iCs/>
          <w:sz w:val="24"/>
          <w:szCs w:val="24"/>
          <w:lang w:eastAsia="es-ES"/>
        </w:rPr>
      </w:pPr>
      <w:r w:rsidRPr="00B02B0E">
        <w:rPr>
          <w:rFonts w:cs="Bodoni-Book"/>
          <w:iCs/>
          <w:sz w:val="24"/>
          <w:szCs w:val="24"/>
          <w:lang w:eastAsia="es-ES"/>
        </w:rPr>
        <w:t xml:space="preserve">A instalación do PE Torroña I é </w:t>
      </w:r>
      <w:r w:rsidRPr="00B02B0E">
        <w:rPr>
          <w:rFonts w:cs="Bodoni-Book"/>
          <w:b/>
          <w:bCs/>
          <w:iCs/>
          <w:sz w:val="24"/>
          <w:szCs w:val="24"/>
          <w:lang w:eastAsia="es-ES"/>
        </w:rPr>
        <w:t>INCOMPATIBLE</w:t>
      </w:r>
      <w:r w:rsidRPr="00B02B0E">
        <w:rPr>
          <w:rFonts w:cs="Bodoni-Book"/>
          <w:iCs/>
          <w:sz w:val="24"/>
          <w:szCs w:val="24"/>
          <w:lang w:eastAsia="es-ES"/>
        </w:rPr>
        <w:t xml:space="preserve"> coa incorporación dos OCPs para AEIP e para actuacións e elementos caraterizadores da paisaxe.</w:t>
      </w:r>
    </w:p>
    <w:p w14:paraId="2DFC0E8D" w14:textId="77777777" w:rsidR="00B02B0E" w:rsidRPr="00B02B0E" w:rsidRDefault="00B02B0E" w:rsidP="00B02B0E">
      <w:pPr>
        <w:spacing w:before="120" w:after="0" w:line="240" w:lineRule="auto"/>
        <w:ind w:left="151"/>
        <w:jc w:val="both"/>
        <w:rPr>
          <w:rFonts w:eastAsia="Times New Roman" w:cs="Courier New"/>
          <w:b/>
          <w:bCs/>
          <w:sz w:val="24"/>
          <w:szCs w:val="24"/>
          <w:lang w:eastAsia="es-ES"/>
        </w:rPr>
      </w:pPr>
      <w:r w:rsidRPr="00B02B0E">
        <w:rPr>
          <w:rFonts w:eastAsia="Times New Roman" w:cs="Courier New"/>
          <w:b/>
          <w:bCs/>
          <w:sz w:val="24"/>
          <w:szCs w:val="24"/>
          <w:lang w:eastAsia="es-ES"/>
        </w:rPr>
        <w:t>c) Non se propoñen suficientes medidas de integración paisaxística do proxecto.</w:t>
      </w:r>
    </w:p>
    <w:p w14:paraId="39C6FBDC" w14:textId="77777777" w:rsidR="00B02B0E" w:rsidRPr="00B02B0E" w:rsidRDefault="00B02B0E" w:rsidP="00B02B0E">
      <w:pPr>
        <w:spacing w:before="120" w:after="0" w:line="240" w:lineRule="auto"/>
        <w:ind w:left="151"/>
        <w:jc w:val="both"/>
        <w:rPr>
          <w:rFonts w:eastAsia="Times New Roman" w:cs="Courier New"/>
          <w:sz w:val="24"/>
          <w:szCs w:val="24"/>
          <w:lang w:eastAsia="es-ES"/>
        </w:rPr>
      </w:pPr>
      <w:r w:rsidRPr="00B02B0E">
        <w:rPr>
          <w:rFonts w:eastAsia="Times New Roman" w:cs="Courier New"/>
          <w:sz w:val="24"/>
          <w:szCs w:val="24"/>
          <w:lang w:eastAsia="es-ES"/>
        </w:rPr>
        <w:t>Tal e como se recolle na guía para a elaboración de Estudos de Impacto e Integración Paisaxística  (EIIP) da Consellería de Medio Ambiente da Xunta de Galicia, estableceranse medidas de integración de carácter preventivo, corrector e compensatorio.</w:t>
      </w:r>
    </w:p>
    <w:p w14:paraId="21B8E916" w14:textId="77777777" w:rsidR="00B02B0E" w:rsidRPr="00B02B0E" w:rsidRDefault="00B02B0E" w:rsidP="00B02B0E">
      <w:pPr>
        <w:spacing w:before="120" w:after="0" w:line="240" w:lineRule="auto"/>
        <w:ind w:left="151"/>
        <w:jc w:val="both"/>
        <w:rPr>
          <w:rFonts w:eastAsia="Times New Roman" w:cs="Courier New"/>
          <w:sz w:val="24"/>
          <w:szCs w:val="24"/>
          <w:lang w:eastAsia="es-ES"/>
        </w:rPr>
      </w:pPr>
      <w:r w:rsidRPr="00B02B0E">
        <w:rPr>
          <w:rFonts w:eastAsia="Times New Roman" w:cs="Courier New"/>
          <w:b/>
          <w:bCs/>
          <w:sz w:val="24"/>
          <w:szCs w:val="24"/>
          <w:lang w:eastAsia="es-ES"/>
        </w:rPr>
        <w:t>Non se contemplan medidas sobre o grupo de impactos sobre a funcionalidade paisaxística social e económica.</w:t>
      </w:r>
      <w:r w:rsidRPr="00B02B0E">
        <w:rPr>
          <w:rFonts w:eastAsia="Times New Roman" w:cs="Courier New"/>
          <w:sz w:val="24"/>
          <w:szCs w:val="24"/>
          <w:lang w:eastAsia="es-ES"/>
        </w:rPr>
        <w:t xml:space="preserve"> Cada espazo, en función do seu tipo de paisaxe, ten unha </w:t>
      </w:r>
      <w:r w:rsidRPr="00B02B0E">
        <w:rPr>
          <w:rFonts w:eastAsia="Times New Roman" w:cs="Courier New"/>
          <w:sz w:val="24"/>
          <w:szCs w:val="24"/>
          <w:lang w:eastAsia="es-ES"/>
        </w:rPr>
        <w:lastRenderedPageBreak/>
        <w:t>funcionalidade que implica unha determinada distribución dos elementos que a conforman. A modificación desa disposición altera a lóxica territorial, converténdose nun impacto sobre á súa funcionalidade. Esta disfunción pode levar consigo unha perda da súa produtividade, xa sexa esta agrícola, forestal, turística ou recreativa, de tal forma que se poden ver insatisfeitas as necesidades sociais e económicas dunha poboación en clave de desenvolvemento sustentable. Así, por exemplo, a construción dunha grande infraestrutura sen a reflexión previa sobre o modelo de organización do territorio e os eixes vertebradores dos distintos asentamentos afectados pode provocar unha desconexión entre áreas dependentes ou complementarias dende o punto de vista social e económico.</w:t>
      </w:r>
    </w:p>
    <w:p w14:paraId="4DD2B361" w14:textId="77777777" w:rsidR="00B02B0E" w:rsidRPr="00B02B0E" w:rsidRDefault="00B02B0E" w:rsidP="00B02B0E">
      <w:pPr>
        <w:spacing w:before="120" w:after="0" w:line="240" w:lineRule="auto"/>
        <w:ind w:left="151"/>
        <w:jc w:val="both"/>
        <w:rPr>
          <w:rFonts w:eastAsia="Times New Roman" w:cs="Courier New"/>
          <w:sz w:val="24"/>
          <w:szCs w:val="24"/>
          <w:lang w:eastAsia="es-ES"/>
        </w:rPr>
      </w:pPr>
      <w:r w:rsidRPr="00B02B0E">
        <w:rPr>
          <w:rFonts w:eastAsia="Times New Roman" w:cs="Courier New"/>
          <w:b/>
          <w:bCs/>
          <w:sz w:val="24"/>
          <w:szCs w:val="24"/>
          <w:lang w:eastAsia="es-ES"/>
        </w:rPr>
        <w:t>Non se contemplan medidas sobre o grupo de impactos sobre a funcionalidade paisaxística xeosistémica.</w:t>
      </w:r>
      <w:r w:rsidRPr="00B02B0E">
        <w:rPr>
          <w:rFonts w:eastAsia="Times New Roman" w:cs="Courier New"/>
          <w:sz w:val="24"/>
          <w:szCs w:val="24"/>
          <w:lang w:eastAsia="es-ES"/>
        </w:rPr>
        <w:t xml:space="preserve"> A perda da biodiversidade e da xeodiversidade pode redundar na perda directa e indirecta da calidade e diversidade paisaxística.</w:t>
      </w:r>
    </w:p>
    <w:p w14:paraId="27386788" w14:textId="77777777" w:rsidR="00B02B0E" w:rsidRPr="00B02B0E" w:rsidRDefault="00B02B0E" w:rsidP="00B02B0E">
      <w:pPr>
        <w:spacing w:before="120" w:after="0" w:line="240" w:lineRule="auto"/>
        <w:ind w:left="151"/>
        <w:jc w:val="both"/>
        <w:rPr>
          <w:rFonts w:eastAsia="Times New Roman" w:cs="Courier New"/>
          <w:sz w:val="24"/>
          <w:szCs w:val="24"/>
          <w:lang w:eastAsia="es-ES"/>
        </w:rPr>
      </w:pPr>
      <w:r w:rsidRPr="00B02B0E">
        <w:rPr>
          <w:rFonts w:eastAsia="Times New Roman" w:cs="Courier New"/>
          <w:b/>
          <w:bCs/>
          <w:sz w:val="24"/>
          <w:szCs w:val="24"/>
          <w:lang w:eastAsia="es-ES"/>
        </w:rPr>
        <w:t>Non se contemplan medidas sobre o grupo de impactos sobre o patrimonio herdado.</w:t>
      </w:r>
      <w:r w:rsidRPr="00B02B0E">
        <w:rPr>
          <w:rFonts w:eastAsia="Times New Roman" w:cs="Courier New"/>
          <w:sz w:val="24"/>
          <w:szCs w:val="24"/>
          <w:lang w:eastAsia="es-ES"/>
        </w:rPr>
        <w:t xml:space="preserve"> Entendidos como tales os efectos de transformación de elementos materiais e inmateriais que son resultado de herdanzas culturais de distintas épocas. Costumes, tradicións, elementos paisaxísticos de grande antigüidade… O significado histórico pode ser comprendido como a unión do patrimonio material e inmaterial pero visto dende unha perspectiva pertencente á dinámica paisaxística.</w:t>
      </w:r>
    </w:p>
    <w:p w14:paraId="39E89756" w14:textId="77777777" w:rsidR="00B02B0E" w:rsidRPr="00B02B0E" w:rsidRDefault="00B02B0E" w:rsidP="00B02B0E">
      <w:pPr>
        <w:spacing w:before="120" w:after="0" w:line="240" w:lineRule="auto"/>
        <w:ind w:left="151"/>
        <w:jc w:val="both"/>
        <w:rPr>
          <w:rFonts w:eastAsia="Times New Roman" w:cs="Courier New"/>
          <w:sz w:val="24"/>
          <w:szCs w:val="24"/>
          <w:lang w:eastAsia="es-ES"/>
        </w:rPr>
      </w:pPr>
      <w:r w:rsidRPr="00B02B0E">
        <w:rPr>
          <w:rFonts w:eastAsia="Times New Roman" w:cs="Courier New"/>
          <w:b/>
          <w:bCs/>
          <w:sz w:val="24"/>
          <w:szCs w:val="24"/>
          <w:lang w:eastAsia="es-ES"/>
        </w:rPr>
        <w:t>Non se contemplan medidas sobre o grupo de impactos sobre lugares de interés histórico.</w:t>
      </w:r>
      <w:r w:rsidRPr="00B02B0E">
        <w:rPr>
          <w:rFonts w:eastAsia="Times New Roman" w:cs="Courier New"/>
          <w:sz w:val="24"/>
          <w:szCs w:val="24"/>
          <w:lang w:eastAsia="es-ES"/>
        </w:rPr>
        <w:t xml:space="preserve"> Os lugares nos que se desenvolveron acontecementos de importancia na configuración histórica do territorio deben ser preservados de actuacións que desfiguren ou enmascaren a memoria histórica.</w:t>
      </w:r>
    </w:p>
    <w:p w14:paraId="2B028A4C" w14:textId="77777777" w:rsidR="00B02B0E" w:rsidRPr="00B02B0E" w:rsidRDefault="00B02B0E" w:rsidP="00B02B0E">
      <w:pPr>
        <w:spacing w:before="120" w:after="0" w:line="240" w:lineRule="auto"/>
        <w:ind w:left="151"/>
        <w:jc w:val="both"/>
        <w:rPr>
          <w:rFonts w:eastAsia="Times New Roman" w:cs="Courier New"/>
          <w:sz w:val="24"/>
          <w:szCs w:val="24"/>
          <w:lang w:eastAsia="es-ES"/>
        </w:rPr>
      </w:pPr>
      <w:r w:rsidRPr="00B02B0E">
        <w:rPr>
          <w:rFonts w:eastAsia="Times New Roman" w:cs="Courier New"/>
          <w:b/>
          <w:bCs/>
          <w:sz w:val="24"/>
          <w:szCs w:val="24"/>
          <w:lang w:eastAsia="es-ES"/>
        </w:rPr>
        <w:t>Non se contemplan medidas sobre o grupo de imnpactos estéticos.</w:t>
      </w:r>
      <w:r w:rsidRPr="00B02B0E">
        <w:rPr>
          <w:rFonts w:eastAsia="Times New Roman" w:cs="Courier New"/>
          <w:sz w:val="24"/>
          <w:szCs w:val="24"/>
          <w:lang w:eastAsia="es-ES"/>
        </w:rPr>
        <w:t xml:space="preserve"> A paisaxe é unha creación do ser humano e como tal non existe se alguén non a sente. Esta percepción, que emana tanto do sensorial coma da memoria, é a que fai que cada sociedade e cada individuo recoñeza nunha paisaxe determinados valores estéticos.</w:t>
      </w:r>
    </w:p>
    <w:p w14:paraId="1B804719" w14:textId="77777777" w:rsidR="00B02B0E" w:rsidRPr="00B02B0E" w:rsidRDefault="00B02B0E" w:rsidP="00B02B0E">
      <w:pPr>
        <w:spacing w:before="120" w:after="0" w:line="240" w:lineRule="auto"/>
        <w:ind w:left="151"/>
        <w:jc w:val="both"/>
        <w:rPr>
          <w:rFonts w:eastAsia="Times New Roman" w:cs="Courier New"/>
          <w:sz w:val="24"/>
          <w:szCs w:val="24"/>
          <w:lang w:eastAsia="es-ES"/>
        </w:rPr>
      </w:pPr>
      <w:r w:rsidRPr="00B02B0E">
        <w:rPr>
          <w:rFonts w:eastAsia="Times New Roman" w:cs="Courier New"/>
          <w:b/>
          <w:bCs/>
          <w:sz w:val="24"/>
          <w:szCs w:val="24"/>
          <w:lang w:eastAsia="es-ES"/>
        </w:rPr>
        <w:t>Non se contemplan medidas sobre a perda de información científica e ambiental.</w:t>
      </w:r>
      <w:r w:rsidRPr="00B02B0E">
        <w:rPr>
          <w:rFonts w:eastAsia="Times New Roman" w:cs="Courier New"/>
          <w:sz w:val="24"/>
          <w:szCs w:val="24"/>
          <w:lang w:eastAsia="es-ES"/>
        </w:rPr>
        <w:t xml:space="preserve"> Existe un patrimonio científico cuxa información é fundamental para o estudo de ambientes e climas pasados e a interpretación dos futuros. Este leva paralelo un contido educativo intrínseco que pode concienciar as xeracións futuras sobre a necesidade de protexer e respectar o medio no que vivimos.</w:t>
      </w:r>
    </w:p>
    <w:p w14:paraId="23345A7B" w14:textId="77777777" w:rsidR="00B02B0E" w:rsidRPr="00B02B0E" w:rsidRDefault="00B02B0E" w:rsidP="00B02B0E">
      <w:pPr>
        <w:spacing w:before="120" w:after="0" w:line="240" w:lineRule="auto"/>
        <w:ind w:left="151"/>
        <w:jc w:val="both"/>
        <w:rPr>
          <w:rFonts w:eastAsia="Times New Roman" w:cs="Courier New"/>
          <w:sz w:val="24"/>
          <w:szCs w:val="24"/>
          <w:lang w:eastAsia="es-ES"/>
        </w:rPr>
      </w:pPr>
      <w:r w:rsidRPr="00B02B0E">
        <w:rPr>
          <w:rFonts w:eastAsia="Times New Roman" w:cs="Courier New"/>
          <w:b/>
          <w:sz w:val="24"/>
          <w:szCs w:val="24"/>
          <w:lang w:eastAsia="es-ES"/>
        </w:rPr>
        <w:t xml:space="preserve">Non se ten en conta a afección a hábitats rochosos de </w:t>
      </w:r>
      <w:r w:rsidRPr="00B02B0E">
        <w:rPr>
          <w:rFonts w:eastAsia="Times New Roman" w:cs="Courier New"/>
          <w:b/>
          <w:i/>
          <w:sz w:val="24"/>
          <w:szCs w:val="24"/>
          <w:lang w:eastAsia="es-ES"/>
        </w:rPr>
        <w:t>Sedum</w:t>
      </w:r>
      <w:r w:rsidRPr="00B02B0E">
        <w:rPr>
          <w:rFonts w:eastAsia="Times New Roman" w:cs="Courier New"/>
          <w:sz w:val="24"/>
          <w:szCs w:val="24"/>
          <w:lang w:eastAsia="es-ES"/>
        </w:rPr>
        <w:t xml:space="preserve"> na avaliación da vexetación no Estudo de Integración Paisaxístico.</w:t>
      </w:r>
    </w:p>
    <w:p w14:paraId="2A7FF6B4" w14:textId="77777777" w:rsidR="00B02B0E" w:rsidRPr="00B02B0E" w:rsidRDefault="00B02B0E" w:rsidP="00B02B0E">
      <w:pPr>
        <w:spacing w:before="120" w:after="0" w:line="240" w:lineRule="auto"/>
        <w:ind w:left="151"/>
        <w:jc w:val="both"/>
        <w:rPr>
          <w:rFonts w:eastAsia="Times New Roman" w:cs="Courier New"/>
          <w:sz w:val="24"/>
          <w:szCs w:val="24"/>
          <w:lang w:eastAsia="es-ES"/>
        </w:rPr>
      </w:pPr>
      <w:r w:rsidRPr="00B02B0E">
        <w:rPr>
          <w:rFonts w:eastAsia="Times New Roman" w:cs="Courier New"/>
          <w:sz w:val="24"/>
          <w:szCs w:val="24"/>
          <w:lang w:eastAsia="es-ES"/>
        </w:rPr>
        <w:t xml:space="preserve">No estudo de visibilidade sobre espazos protexidos </w:t>
      </w:r>
      <w:r w:rsidRPr="00B02B0E">
        <w:rPr>
          <w:rFonts w:eastAsia="Times New Roman" w:cs="Courier New"/>
          <w:b/>
          <w:sz w:val="24"/>
          <w:szCs w:val="24"/>
          <w:lang w:eastAsia="es-ES"/>
        </w:rPr>
        <w:t>non se ten en conta a ZEPA Espazo Mariño das Rías Baixas (SiteCode: ES0000499)</w:t>
      </w:r>
      <w:r w:rsidRPr="00B02B0E">
        <w:rPr>
          <w:rFonts w:eastAsia="Times New Roman" w:cs="Courier New"/>
          <w:sz w:val="24"/>
          <w:szCs w:val="24"/>
          <w:lang w:eastAsia="es-ES"/>
        </w:rPr>
        <w:t>.</w:t>
      </w:r>
    </w:p>
    <w:p w14:paraId="0A281EF3" w14:textId="77777777" w:rsidR="00B02B0E" w:rsidRPr="00B02B0E" w:rsidRDefault="00B02B0E" w:rsidP="00B02B0E">
      <w:pPr>
        <w:spacing w:before="120" w:after="0" w:line="240" w:lineRule="auto"/>
        <w:ind w:left="151"/>
        <w:jc w:val="both"/>
        <w:rPr>
          <w:rFonts w:eastAsia="Times New Roman" w:cs="Courier New"/>
          <w:sz w:val="24"/>
          <w:szCs w:val="24"/>
          <w:lang w:eastAsia="es-ES"/>
        </w:rPr>
      </w:pPr>
      <w:r w:rsidRPr="00B02B0E">
        <w:rPr>
          <w:rFonts w:eastAsia="Times New Roman" w:cs="Courier New"/>
          <w:sz w:val="24"/>
          <w:szCs w:val="24"/>
          <w:lang w:eastAsia="es-ES"/>
        </w:rPr>
        <w:t>O EIIP non se corresponde coa situación real toda vez que considera que “</w:t>
      </w:r>
      <w:r w:rsidRPr="00B02B0E">
        <w:rPr>
          <w:rFonts w:eastAsia="Times New Roman" w:cs="Courier New"/>
          <w:i/>
          <w:sz w:val="24"/>
          <w:szCs w:val="24"/>
          <w:lang w:eastAsia="es-ES"/>
        </w:rPr>
        <w:t>a existencia doutros parque eólicos en fase de tramitación ou de nova solicitude nas inmediacións do parque proxectado, supón que estas novas unidades e a mesma irrupción na paisaxe non son exclusivas das instalacións proxectadas</w:t>
      </w:r>
      <w:r w:rsidRPr="00B02B0E">
        <w:rPr>
          <w:rFonts w:eastAsia="Times New Roman" w:cs="Courier New"/>
          <w:sz w:val="24"/>
          <w:szCs w:val="24"/>
          <w:lang w:eastAsia="es-ES"/>
        </w:rPr>
        <w:t>”. Na actualidade o PE Merendón e Albariño I obtiveron as súas correspondentes DIAs desfavorables.</w:t>
      </w:r>
    </w:p>
    <w:p w14:paraId="403815A9" w14:textId="77777777" w:rsidR="00B02B0E" w:rsidRPr="00B02B0E" w:rsidRDefault="00B02B0E" w:rsidP="00B02B0E">
      <w:pPr>
        <w:spacing w:before="120" w:after="0" w:line="240" w:lineRule="auto"/>
        <w:ind w:left="151"/>
        <w:jc w:val="both"/>
        <w:rPr>
          <w:rFonts w:eastAsia="Times New Roman" w:cs="Courier New"/>
          <w:sz w:val="24"/>
          <w:szCs w:val="24"/>
          <w:lang w:eastAsia="es-ES"/>
        </w:rPr>
      </w:pPr>
      <w:r w:rsidRPr="00B02B0E">
        <w:rPr>
          <w:rFonts w:eastAsia="Times New Roman" w:cs="Courier New"/>
          <w:sz w:val="24"/>
          <w:szCs w:val="24"/>
          <w:lang w:eastAsia="es-ES"/>
        </w:rPr>
        <w:t xml:space="preserve">Dende que en 1995 se empezaron en Galicia a implantar os primeiros parques eólicos disponse xa dunha ampla serie temporal de datos sobre a que analizar o impacto socioeconómico destas infraestruturas. A pesar dos grandes beneficios prometidos sobre a economía local a través da creación de emprego e xeración de riqueza tal e como afirma o </w:t>
      </w:r>
      <w:r w:rsidRPr="00B02B0E">
        <w:rPr>
          <w:rFonts w:eastAsia="Times New Roman" w:cs="Courier New"/>
          <w:sz w:val="24"/>
          <w:szCs w:val="24"/>
          <w:lang w:eastAsia="es-ES"/>
        </w:rPr>
        <w:lastRenderedPageBreak/>
        <w:t>propio Proxecto Sectorial, o certo é que en todos os concellos producíuse unha continuada perda de poboación dende a implantación do PEs. Ainda que no EsIA do PE Torroña I estímase como positivo o impacto sobre o emprego e a xeración de recursos económicos para as comunidade locais non se inclúe unha estimación de postos de traballo que se xerarán nin da magnitude desa xeración de recursos económicos para as comunidades locais.</w:t>
      </w:r>
    </w:p>
    <w:p w14:paraId="42A3D5E0" w14:textId="77777777" w:rsidR="00B02B0E" w:rsidRPr="00B02B0E" w:rsidRDefault="00B02B0E" w:rsidP="00B02B0E">
      <w:pPr>
        <w:spacing w:before="120" w:after="0" w:line="240" w:lineRule="auto"/>
        <w:ind w:left="151"/>
        <w:jc w:val="both"/>
        <w:rPr>
          <w:rFonts w:eastAsia="Times New Roman" w:cs="Courier New"/>
          <w:sz w:val="24"/>
          <w:szCs w:val="24"/>
          <w:lang w:eastAsia="es-ES"/>
        </w:rPr>
      </w:pPr>
      <w:r w:rsidRPr="00B02B0E">
        <w:rPr>
          <w:rFonts w:eastAsia="Times New Roman" w:cs="Courier New"/>
          <w:sz w:val="24"/>
          <w:szCs w:val="24"/>
          <w:lang w:eastAsia="es-ES"/>
        </w:rPr>
        <w:t xml:space="preserve">O 22 de setembro de 2022 publicouse no DOG o </w:t>
      </w:r>
      <w:r w:rsidRPr="00B02B0E">
        <w:rPr>
          <w:rFonts w:eastAsia="Times New Roman" w:cs="Courier New"/>
          <w:i/>
          <w:sz w:val="24"/>
          <w:szCs w:val="24"/>
          <w:lang w:eastAsia="es-ES"/>
        </w:rPr>
        <w:t>ANUNCIO do 8 de setembro de 2022, da Dirección Xeral de Calidade Ambiental, Sostibilidade e Cambio Climático, polo que se fai pública a declaración de impacto ambiental do proxecto do parque eólico Albariño I, nos concellos de Baiona, Oia e Tomiño (Pontevedra) (expediente 2020/0241)</w:t>
      </w:r>
      <w:r w:rsidRPr="00B02B0E">
        <w:rPr>
          <w:rFonts w:eastAsia="Times New Roman" w:cs="Courier New"/>
          <w:sz w:val="24"/>
          <w:szCs w:val="24"/>
          <w:lang w:eastAsia="es-ES"/>
        </w:rPr>
        <w:t xml:space="preserve">, esta </w:t>
      </w:r>
      <w:r w:rsidRPr="00B02B0E">
        <w:rPr>
          <w:rFonts w:eastAsia="Times New Roman" w:cs="Courier New"/>
          <w:b/>
          <w:sz w:val="24"/>
          <w:szCs w:val="24"/>
          <w:lang w:eastAsia="es-ES"/>
        </w:rPr>
        <w:t>DIA foi desfavorable</w:t>
      </w:r>
      <w:r w:rsidRPr="00B02B0E">
        <w:rPr>
          <w:rFonts w:eastAsia="Times New Roman" w:cs="Courier New"/>
          <w:sz w:val="24"/>
          <w:szCs w:val="24"/>
          <w:lang w:eastAsia="es-ES"/>
        </w:rPr>
        <w:t xml:space="preserve"> e nela, o Instituto de Estudos do Territorio (IET) constataba un forte impacto sobre as Áreas de especial interese paisaxístico Serra da Groba, Corroubelo e Chan da Valga con “</w:t>
      </w:r>
      <w:r w:rsidRPr="00B02B0E">
        <w:rPr>
          <w:rFonts w:eastAsia="Times New Roman" w:cs="Courier New"/>
          <w:i/>
          <w:sz w:val="24"/>
          <w:szCs w:val="24"/>
          <w:lang w:eastAsia="es-ES"/>
        </w:rPr>
        <w:t>impactos críticos sobre a paisaxe, que alterarían de forma irreversible os valores das AEIP máis afectadas, sen que tales efectos poidan mitigarse con ningún tipo de medida corrector</w:t>
      </w:r>
      <w:r w:rsidRPr="00B02B0E">
        <w:rPr>
          <w:rFonts w:eastAsia="Times New Roman" w:cs="Courier New"/>
          <w:sz w:val="24"/>
          <w:szCs w:val="24"/>
          <w:lang w:eastAsia="es-ES"/>
        </w:rPr>
        <w:t xml:space="preserve">”. Pois ben, </w:t>
      </w:r>
      <w:r w:rsidRPr="00B02B0E">
        <w:rPr>
          <w:rFonts w:eastAsia="Times New Roman" w:cs="Courier New"/>
          <w:b/>
          <w:sz w:val="24"/>
          <w:szCs w:val="24"/>
          <w:lang w:eastAsia="es-ES"/>
        </w:rPr>
        <w:t>O PE Torroña I superponse co PE Toroña polo que os efectos sobre a paisaxe serán exactamente os mesmos</w:t>
      </w:r>
      <w:r w:rsidRPr="00B02B0E">
        <w:rPr>
          <w:rFonts w:eastAsia="Times New Roman" w:cs="Courier New"/>
          <w:sz w:val="24"/>
          <w:szCs w:val="24"/>
          <w:lang w:eastAsia="es-ES"/>
        </w:rPr>
        <w:t xml:space="preserve">. </w:t>
      </w:r>
    </w:p>
    <w:p w14:paraId="2250D848" w14:textId="77777777" w:rsidR="00B02B0E" w:rsidRPr="00B02B0E" w:rsidRDefault="00B02B0E" w:rsidP="00B02B0E">
      <w:pPr>
        <w:pBdr>
          <w:top w:val="single" w:sz="4" w:space="1" w:color="auto"/>
          <w:left w:val="single" w:sz="4" w:space="4" w:color="auto"/>
          <w:bottom w:val="single" w:sz="4" w:space="1" w:color="auto"/>
          <w:right w:val="single" w:sz="4" w:space="4" w:color="auto"/>
        </w:pBdr>
        <w:spacing w:before="120" w:after="0" w:line="240" w:lineRule="auto"/>
        <w:ind w:left="151"/>
        <w:jc w:val="both"/>
        <w:rPr>
          <w:rFonts w:eastAsia="Times New Roman" w:cs="Courier New"/>
          <w:sz w:val="24"/>
          <w:szCs w:val="24"/>
          <w:lang w:eastAsia="es-ES"/>
        </w:rPr>
      </w:pPr>
      <w:r w:rsidRPr="00B02B0E">
        <w:rPr>
          <w:rFonts w:eastAsia="Times New Roman" w:cs="Courier New"/>
          <w:sz w:val="24"/>
          <w:szCs w:val="24"/>
          <w:lang w:eastAsia="es-ES"/>
        </w:rPr>
        <w:t xml:space="preserve">A degradación da paisaxe ocasionada pola instalación de infraestruturas industriais terá un impacto </w:t>
      </w:r>
      <w:r w:rsidRPr="00B02B0E">
        <w:rPr>
          <w:rFonts w:eastAsia="Times New Roman" w:cs="Courier New"/>
          <w:b/>
          <w:bCs/>
          <w:sz w:val="24"/>
          <w:szCs w:val="24"/>
          <w:lang w:eastAsia="es-ES"/>
        </w:rPr>
        <w:t>MOI SEVERO</w:t>
      </w:r>
      <w:r w:rsidRPr="00B02B0E">
        <w:rPr>
          <w:rFonts w:eastAsia="Times New Roman" w:cs="Courier New"/>
          <w:sz w:val="24"/>
          <w:szCs w:val="24"/>
          <w:lang w:eastAsia="es-ES"/>
        </w:rPr>
        <w:t xml:space="preserve"> sobre a conservación dos seus valores paisaxísticos.</w:t>
      </w:r>
      <w:bookmarkEnd w:id="420"/>
    </w:p>
    <w:p w14:paraId="0B107782" w14:textId="77777777" w:rsidR="00AE5A25" w:rsidRPr="00191349" w:rsidRDefault="00AE5A25" w:rsidP="00AE5A25">
      <w:pPr>
        <w:pStyle w:val="Prrafodelista"/>
        <w:numPr>
          <w:ilvl w:val="0"/>
          <w:numId w:val="11"/>
        </w:numPr>
        <w:shd w:val="clear" w:color="auto" w:fill="C6D9F1"/>
        <w:spacing w:before="120"/>
        <w:ind w:left="1843" w:hanging="1843"/>
        <w:jc w:val="both"/>
        <w:outlineLvl w:val="0"/>
        <w:rPr>
          <w:b/>
          <w:sz w:val="24"/>
          <w:szCs w:val="24"/>
        </w:rPr>
      </w:pPr>
      <w:r w:rsidRPr="00191349">
        <w:rPr>
          <w:b/>
          <w:bCs/>
        </w:rPr>
        <w:t>Vulneración da Lei</w:t>
      </w:r>
      <w:r>
        <w:rPr>
          <w:b/>
          <w:bCs/>
        </w:rPr>
        <w:t xml:space="preserve"> 3/1996, de protección dos Camiñ</w:t>
      </w:r>
      <w:r w:rsidRPr="00191349">
        <w:rPr>
          <w:b/>
          <w:bCs/>
        </w:rPr>
        <w:t>os de Santiago</w:t>
      </w:r>
      <w:bookmarkEnd w:id="421"/>
      <w:bookmarkEnd w:id="422"/>
      <w:bookmarkEnd w:id="423"/>
    </w:p>
    <w:p w14:paraId="11C574B8" w14:textId="77777777" w:rsidR="00AE5A25" w:rsidRPr="00191349" w:rsidRDefault="00AE5A25" w:rsidP="00AE5A25">
      <w:pPr>
        <w:tabs>
          <w:tab w:val="left" w:pos="2160"/>
        </w:tabs>
        <w:autoSpaceDE w:val="0"/>
        <w:spacing w:before="120" w:after="0" w:line="240" w:lineRule="auto"/>
        <w:jc w:val="both"/>
        <w:rPr>
          <w:rFonts w:cs="Calibri"/>
          <w:sz w:val="24"/>
          <w:szCs w:val="24"/>
        </w:rPr>
      </w:pPr>
      <w:r w:rsidRPr="00191349">
        <w:rPr>
          <w:rFonts w:cs="Calibri"/>
          <w:sz w:val="24"/>
          <w:szCs w:val="24"/>
        </w:rPr>
        <w:t>En 1996 aprobouse a Lei 3/1996 do 10 de maio, de protección dos C</w:t>
      </w:r>
      <w:r>
        <w:rPr>
          <w:rFonts w:cs="Calibri"/>
          <w:sz w:val="24"/>
          <w:szCs w:val="24"/>
        </w:rPr>
        <w:t>a</w:t>
      </w:r>
      <w:r w:rsidRPr="00191349">
        <w:rPr>
          <w:rFonts w:cs="Calibri"/>
          <w:sz w:val="24"/>
          <w:szCs w:val="24"/>
        </w:rPr>
        <w:t>miños de Santiago, tal e como establece o preámbulo:</w:t>
      </w:r>
    </w:p>
    <w:p w14:paraId="5F1B7D0D" w14:textId="77777777" w:rsidR="00AE5A25" w:rsidRPr="00191349" w:rsidRDefault="00AE5A25" w:rsidP="00AE5A25">
      <w:pPr>
        <w:autoSpaceDE w:val="0"/>
        <w:spacing w:before="120" w:after="0" w:line="240" w:lineRule="auto"/>
        <w:ind w:left="1134" w:right="942"/>
        <w:jc w:val="both"/>
        <w:rPr>
          <w:rFonts w:ascii="Times New Roman" w:hAnsi="Times New Roman"/>
          <w:i/>
          <w:sz w:val="24"/>
          <w:szCs w:val="24"/>
        </w:rPr>
      </w:pPr>
      <w:r w:rsidRPr="00191349">
        <w:rPr>
          <w:rFonts w:cs="Calibri"/>
          <w:i/>
          <w:color w:val="000000"/>
          <w:sz w:val="24"/>
          <w:szCs w:val="24"/>
          <w:highlight w:val="white"/>
        </w:rPr>
        <w:t>O Camiño de Santiago foi unha vía de comunicación, lugar de encontro de culturas e xerador dunha vida social e económica que deu lugar á formación de cidades e vilas e, consecuentemente, a unha transformación da paisaxe, trazos todos eles que o dotan desa impresionante riqueza cultural e histórica merecedora de respecto e protección.</w:t>
      </w:r>
    </w:p>
    <w:p w14:paraId="3C993D21" w14:textId="77777777" w:rsidR="00AE5A25" w:rsidRPr="00191349" w:rsidRDefault="00AE5A25" w:rsidP="00AE5A25">
      <w:pPr>
        <w:tabs>
          <w:tab w:val="left" w:pos="2160"/>
        </w:tabs>
        <w:autoSpaceDE w:val="0"/>
        <w:spacing w:before="120" w:after="0" w:line="240" w:lineRule="auto"/>
        <w:jc w:val="both"/>
        <w:rPr>
          <w:rFonts w:cs="Calibri"/>
          <w:sz w:val="24"/>
          <w:szCs w:val="24"/>
        </w:rPr>
      </w:pPr>
      <w:r w:rsidRPr="00191349">
        <w:rPr>
          <w:rFonts w:cs="Calibri"/>
          <w:sz w:val="24"/>
          <w:szCs w:val="24"/>
        </w:rPr>
        <w:t>A Comunidade Autón</w:t>
      </w:r>
      <w:r>
        <w:rPr>
          <w:rFonts w:cs="Calibri"/>
          <w:sz w:val="24"/>
          <w:szCs w:val="24"/>
        </w:rPr>
        <w:t>oma de Galicia recoñeceu o camiñ</w:t>
      </w:r>
      <w:r w:rsidRPr="00191349">
        <w:rPr>
          <w:rFonts w:cs="Calibri"/>
          <w:sz w:val="24"/>
          <w:szCs w:val="24"/>
        </w:rPr>
        <w:t>o de S</w:t>
      </w:r>
      <w:r>
        <w:rPr>
          <w:rFonts w:cs="Calibri"/>
          <w:sz w:val="24"/>
          <w:szCs w:val="24"/>
        </w:rPr>
        <w:t>a</w:t>
      </w:r>
      <w:r w:rsidRPr="00191349">
        <w:rPr>
          <w:rFonts w:cs="Calibri"/>
          <w:sz w:val="24"/>
          <w:szCs w:val="24"/>
        </w:rPr>
        <w:t>ntiago como un ben patrimonial protexido por medio da Lei 3/1996, do 10 de maio, de protección dos camiños de Santiago, que es</w:t>
      </w:r>
      <w:r w:rsidRPr="00191349">
        <w:rPr>
          <w:rFonts w:cs="Calibri"/>
          <w:sz w:val="24"/>
          <w:szCs w:val="24"/>
        </w:rPr>
        <w:softHyphen/>
        <w:t>tablece a condición de territorio histórico catalogado. Para a xestión integral do Camiño de Santiago, o Consello da Xunta de Galicia do 24 de setembro de 2015 aprobou o Plan director e estratéxico do Camiño de Santiago 2015-2021.</w:t>
      </w:r>
    </w:p>
    <w:p w14:paraId="5DCAF9EC" w14:textId="77777777" w:rsidR="00AE5A25" w:rsidRPr="00191349" w:rsidRDefault="00AE5A25" w:rsidP="00AE5A25">
      <w:pPr>
        <w:tabs>
          <w:tab w:val="left" w:pos="2160"/>
        </w:tabs>
        <w:autoSpaceDE w:val="0"/>
        <w:spacing w:before="120" w:after="0" w:line="240" w:lineRule="auto"/>
        <w:jc w:val="both"/>
        <w:rPr>
          <w:rFonts w:cs="Calibri"/>
          <w:sz w:val="24"/>
          <w:szCs w:val="24"/>
        </w:rPr>
      </w:pPr>
      <w:r w:rsidRPr="00191349">
        <w:rPr>
          <w:rFonts w:cs="Calibri"/>
          <w:sz w:val="24"/>
          <w:szCs w:val="24"/>
        </w:rPr>
        <w:t>No Artigo 21. 3, considéranse faltas leves:</w:t>
      </w:r>
    </w:p>
    <w:p w14:paraId="4EE2B1E5" w14:textId="77777777" w:rsidR="00AE5A25" w:rsidRPr="00191349" w:rsidRDefault="00AE5A25" w:rsidP="00AE5A25">
      <w:pPr>
        <w:autoSpaceDE w:val="0"/>
        <w:spacing w:before="120" w:after="0" w:line="240" w:lineRule="auto"/>
        <w:ind w:left="567" w:right="942"/>
        <w:jc w:val="both"/>
        <w:rPr>
          <w:rFonts w:ascii="Times New Roman" w:hAnsi="Times New Roman"/>
          <w:sz w:val="24"/>
          <w:szCs w:val="24"/>
        </w:rPr>
      </w:pPr>
      <w:r w:rsidRPr="00191349">
        <w:rPr>
          <w:rFonts w:cs="Calibri"/>
          <w:i/>
          <w:color w:val="000000"/>
          <w:sz w:val="24"/>
          <w:szCs w:val="24"/>
          <w:highlight w:val="white"/>
        </w:rPr>
        <w:t>c) La realización de actividades contrarias a los valores del Camino.</w:t>
      </w:r>
    </w:p>
    <w:p w14:paraId="69CF6BE4" w14:textId="77777777" w:rsidR="00AE5A25" w:rsidRPr="00191349" w:rsidRDefault="00AE5A25" w:rsidP="00AE5A25">
      <w:pPr>
        <w:tabs>
          <w:tab w:val="left" w:pos="2160"/>
        </w:tabs>
        <w:autoSpaceDE w:val="0"/>
        <w:spacing w:before="120" w:after="0" w:line="240" w:lineRule="auto"/>
        <w:jc w:val="both"/>
        <w:rPr>
          <w:sz w:val="24"/>
          <w:szCs w:val="24"/>
        </w:rPr>
      </w:pPr>
      <w:r w:rsidRPr="00191349">
        <w:rPr>
          <w:rFonts w:cs="Calibri"/>
          <w:sz w:val="24"/>
          <w:szCs w:val="24"/>
        </w:rPr>
        <w:t xml:space="preserve">O Camiño de Santiago Portugués pola costa experimentou un gran incremento na afluencia de visitantes nos últimos anos, según </w:t>
      </w:r>
      <w:hyperlink r:id="rId75" w:history="1">
        <w:r w:rsidRPr="00191349">
          <w:rPr>
            <w:rStyle w:val="Hipervnculo"/>
            <w:rFonts w:cs="Calibri"/>
            <w:sz w:val="24"/>
            <w:szCs w:val="24"/>
          </w:rPr>
          <w:t>se recolle nas estatísticas oficiais</w:t>
        </w:r>
      </w:hyperlink>
      <w:r>
        <w:rPr>
          <w:rStyle w:val="Refdenotaalpie"/>
          <w:sz w:val="24"/>
          <w:szCs w:val="24"/>
        </w:rPr>
        <w:footnoteReference w:id="57"/>
      </w:r>
      <w:r w:rsidRPr="00191349">
        <w:rPr>
          <w:rFonts w:cs="Calibri"/>
          <w:sz w:val="24"/>
          <w:szCs w:val="24"/>
        </w:rPr>
        <w:t>:</w:t>
      </w:r>
    </w:p>
    <w:p w14:paraId="556AF187" w14:textId="77777777" w:rsidR="00AE5A25" w:rsidRPr="00191349" w:rsidRDefault="00AE5A25" w:rsidP="00AE5A25">
      <w:pPr>
        <w:tabs>
          <w:tab w:val="left" w:pos="2160"/>
        </w:tabs>
        <w:autoSpaceDE w:val="0"/>
        <w:spacing w:before="120" w:after="0" w:line="240" w:lineRule="auto"/>
        <w:ind w:left="567"/>
        <w:jc w:val="both"/>
        <w:rPr>
          <w:sz w:val="24"/>
          <w:szCs w:val="24"/>
        </w:rPr>
      </w:pPr>
      <w:r w:rsidRPr="00191349">
        <w:rPr>
          <w:rFonts w:cs="Calibri"/>
          <w:sz w:val="24"/>
          <w:szCs w:val="24"/>
        </w:rPr>
        <w:tab/>
        <w:t>2016: 2.600 visitantes</w:t>
      </w:r>
    </w:p>
    <w:p w14:paraId="02C0B0DF" w14:textId="77777777" w:rsidR="00AE5A25" w:rsidRPr="00191349" w:rsidRDefault="00AE5A25" w:rsidP="00AE5A25">
      <w:pPr>
        <w:tabs>
          <w:tab w:val="left" w:pos="2160"/>
        </w:tabs>
        <w:autoSpaceDE w:val="0"/>
        <w:spacing w:before="120" w:after="0" w:line="240" w:lineRule="auto"/>
        <w:ind w:left="567"/>
        <w:jc w:val="both"/>
        <w:rPr>
          <w:sz w:val="24"/>
          <w:szCs w:val="24"/>
        </w:rPr>
      </w:pPr>
      <w:r w:rsidRPr="00191349">
        <w:rPr>
          <w:rFonts w:cs="Calibri"/>
          <w:sz w:val="24"/>
          <w:szCs w:val="24"/>
        </w:rPr>
        <w:tab/>
        <w:t>2017: 7.329 visitantes</w:t>
      </w:r>
    </w:p>
    <w:p w14:paraId="354E12E9" w14:textId="77777777" w:rsidR="00AE5A25" w:rsidRPr="00191349" w:rsidRDefault="00AE5A25" w:rsidP="00AE5A25">
      <w:pPr>
        <w:tabs>
          <w:tab w:val="left" w:pos="2160"/>
        </w:tabs>
        <w:autoSpaceDE w:val="0"/>
        <w:spacing w:before="120" w:after="0" w:line="240" w:lineRule="auto"/>
        <w:ind w:left="567"/>
        <w:jc w:val="both"/>
        <w:rPr>
          <w:sz w:val="24"/>
          <w:szCs w:val="24"/>
        </w:rPr>
      </w:pPr>
      <w:r w:rsidRPr="00191349">
        <w:rPr>
          <w:rFonts w:cs="Calibri"/>
          <w:sz w:val="24"/>
          <w:szCs w:val="24"/>
        </w:rPr>
        <w:tab/>
        <w:t>2018: 13.841 visitantes</w:t>
      </w:r>
    </w:p>
    <w:p w14:paraId="0F383B75" w14:textId="77777777" w:rsidR="00AE5A25" w:rsidRPr="00191349" w:rsidRDefault="00AE5A25" w:rsidP="00AE5A25">
      <w:pPr>
        <w:tabs>
          <w:tab w:val="left" w:pos="2160"/>
        </w:tabs>
        <w:autoSpaceDE w:val="0"/>
        <w:spacing w:before="120" w:after="0" w:line="240" w:lineRule="auto"/>
        <w:ind w:left="567"/>
        <w:jc w:val="both"/>
        <w:rPr>
          <w:rFonts w:cs="Calibri"/>
          <w:sz w:val="24"/>
          <w:szCs w:val="24"/>
        </w:rPr>
      </w:pPr>
      <w:r w:rsidRPr="00191349">
        <w:rPr>
          <w:rFonts w:cs="Calibri"/>
          <w:sz w:val="24"/>
          <w:szCs w:val="24"/>
        </w:rPr>
        <w:tab/>
        <w:t>2019: 8.576 visitantes</w:t>
      </w:r>
    </w:p>
    <w:p w14:paraId="7B4DB491" w14:textId="77777777" w:rsidR="00AE5A25" w:rsidRPr="00191349" w:rsidRDefault="00AE5A25" w:rsidP="00AE5A25">
      <w:pPr>
        <w:tabs>
          <w:tab w:val="left" w:pos="2160"/>
        </w:tabs>
        <w:autoSpaceDE w:val="0"/>
        <w:spacing w:before="120" w:after="0" w:line="240" w:lineRule="auto"/>
        <w:jc w:val="both"/>
        <w:rPr>
          <w:rFonts w:cs="Calibri"/>
          <w:sz w:val="24"/>
          <w:szCs w:val="24"/>
        </w:rPr>
      </w:pPr>
      <w:r w:rsidRPr="00191349">
        <w:rPr>
          <w:rFonts w:cs="Calibri"/>
          <w:sz w:val="24"/>
          <w:szCs w:val="24"/>
        </w:rPr>
        <w:lastRenderedPageBreak/>
        <w:t>A industrialización do territorio e a degradación da paisaxe contribuirán de maneira irreversible á perda do atractivo que supon o Camiño de Santiago Portugués pola Costa.</w:t>
      </w:r>
    </w:p>
    <w:p w14:paraId="6F15204D" w14:textId="273D53ED" w:rsidR="004672E3" w:rsidRDefault="00AE5A25" w:rsidP="00AE5A25">
      <w:pPr>
        <w:pBdr>
          <w:top w:val="single" w:sz="4" w:space="1" w:color="auto"/>
          <w:left w:val="single" w:sz="4" w:space="4" w:color="auto"/>
          <w:bottom w:val="single" w:sz="4" w:space="1" w:color="auto"/>
          <w:right w:val="single" w:sz="4" w:space="4" w:color="auto"/>
        </w:pBdr>
        <w:tabs>
          <w:tab w:val="left" w:pos="2160"/>
        </w:tabs>
        <w:autoSpaceDE w:val="0"/>
        <w:spacing w:before="120" w:after="0" w:line="240" w:lineRule="auto"/>
        <w:jc w:val="both"/>
        <w:rPr>
          <w:rFonts w:cs="Calibri"/>
          <w:sz w:val="24"/>
          <w:szCs w:val="24"/>
        </w:rPr>
      </w:pPr>
      <w:r w:rsidRPr="00261598">
        <w:rPr>
          <w:rFonts w:cs="Calibri"/>
          <w:sz w:val="24"/>
          <w:szCs w:val="24"/>
        </w:rPr>
        <w:t>No EsIA non consta informe do ICOMOS (</w:t>
      </w:r>
      <w:r w:rsidRPr="00261598">
        <w:rPr>
          <w:rFonts w:cs="Calibri"/>
          <w:i/>
          <w:iCs/>
          <w:sz w:val="24"/>
          <w:szCs w:val="24"/>
        </w:rPr>
        <w:t>Consello Internacional de Monumentos e Sitios</w:t>
      </w:r>
      <w:r w:rsidRPr="00261598">
        <w:rPr>
          <w:rFonts w:cs="Calibri"/>
          <w:sz w:val="24"/>
          <w:szCs w:val="24"/>
        </w:rPr>
        <w:t>).</w:t>
      </w:r>
    </w:p>
    <w:p w14:paraId="76C964A4" w14:textId="03F6A725" w:rsidR="004672E3" w:rsidRDefault="004672E3">
      <w:pPr>
        <w:spacing w:after="0" w:line="240" w:lineRule="auto"/>
        <w:rPr>
          <w:rFonts w:cs="Calibri"/>
          <w:sz w:val="24"/>
          <w:szCs w:val="24"/>
        </w:rPr>
      </w:pPr>
    </w:p>
    <w:p w14:paraId="18850CF5" w14:textId="77777777" w:rsidR="00AE5A25" w:rsidRPr="00673B34" w:rsidRDefault="00AE5A25" w:rsidP="00AE5A25">
      <w:pPr>
        <w:pStyle w:val="Prrafodelista"/>
        <w:numPr>
          <w:ilvl w:val="0"/>
          <w:numId w:val="11"/>
        </w:numPr>
        <w:shd w:val="clear" w:color="auto" w:fill="C6D9F1"/>
        <w:spacing w:before="120"/>
        <w:ind w:left="1843" w:hanging="1843"/>
        <w:jc w:val="both"/>
        <w:outlineLvl w:val="0"/>
        <w:rPr>
          <w:b/>
          <w:sz w:val="24"/>
          <w:szCs w:val="24"/>
        </w:rPr>
      </w:pPr>
      <w:bookmarkStart w:id="426" w:name="_Toc88004929"/>
      <w:bookmarkStart w:id="427" w:name="_Toc132511025"/>
      <w:bookmarkEnd w:id="424"/>
      <w:r w:rsidRPr="00673B34">
        <w:rPr>
          <w:b/>
          <w:sz w:val="24"/>
          <w:szCs w:val="24"/>
        </w:rPr>
        <w:t>Deficiente avaliación dos efectos na mitigación do cambio climático</w:t>
      </w:r>
      <w:bookmarkEnd w:id="425"/>
      <w:r w:rsidRPr="00673B34">
        <w:rPr>
          <w:b/>
          <w:sz w:val="24"/>
          <w:szCs w:val="24"/>
        </w:rPr>
        <w:t>.</w:t>
      </w:r>
      <w:bookmarkEnd w:id="426"/>
      <w:bookmarkEnd w:id="427"/>
    </w:p>
    <w:p w14:paraId="434EC488" w14:textId="77777777" w:rsidR="00AE5A25" w:rsidRPr="00261598" w:rsidRDefault="00AE5A25" w:rsidP="00AE5A25">
      <w:pPr>
        <w:pStyle w:val="Textosinformato"/>
        <w:spacing w:before="120"/>
        <w:jc w:val="both"/>
        <w:rPr>
          <w:rFonts w:ascii="Calibri" w:hAnsi="Calibri"/>
          <w:sz w:val="24"/>
          <w:szCs w:val="24"/>
        </w:rPr>
      </w:pPr>
      <w:r w:rsidRPr="00261598">
        <w:rPr>
          <w:rFonts w:ascii="Calibri" w:hAnsi="Calibri"/>
          <w:sz w:val="24"/>
          <w:szCs w:val="24"/>
        </w:rPr>
        <w:t xml:space="preserve">O EsIA </w:t>
      </w:r>
      <w:r>
        <w:rPr>
          <w:rFonts w:ascii="Calibri" w:hAnsi="Calibri"/>
          <w:sz w:val="24"/>
          <w:szCs w:val="24"/>
        </w:rPr>
        <w:t>non realiza una valoración do impacto da construcción do PE en términos de contribución á liberación de gases de efecto invernadoiro, principal causa do cambio climático.</w:t>
      </w:r>
    </w:p>
    <w:p w14:paraId="3FD671B8" w14:textId="77777777" w:rsidR="00AE5A25" w:rsidRPr="00261598" w:rsidRDefault="00AE5A25" w:rsidP="00AE5A25">
      <w:pPr>
        <w:pStyle w:val="Textosinformato"/>
        <w:spacing w:before="120"/>
        <w:jc w:val="both"/>
        <w:rPr>
          <w:rFonts w:ascii="Calibri" w:hAnsi="Calibri"/>
          <w:sz w:val="24"/>
          <w:szCs w:val="24"/>
        </w:rPr>
      </w:pPr>
      <w:r w:rsidRPr="00261598">
        <w:rPr>
          <w:rFonts w:ascii="Calibri" w:hAnsi="Calibri"/>
          <w:sz w:val="24"/>
          <w:szCs w:val="24"/>
        </w:rPr>
        <w:t>O redactor do EsIA non ten en conta que a construcción dos aeroxeradores e toda a infraestrutura necesaria para a construcción dun PE require dunha gran cantidade de materiais que proveñen de actividades mineiras con gran impacto medioambiental e dun gran consumno de enerxía que contribúe á emisión de gases de efecto invernadoiro responsables do cambio climático.</w:t>
      </w:r>
    </w:p>
    <w:p w14:paraId="20D5714B" w14:textId="77777777" w:rsidR="00AE5A25" w:rsidRPr="00261598" w:rsidRDefault="00AE5A25" w:rsidP="00AE5A25">
      <w:pPr>
        <w:pStyle w:val="Textosinformato"/>
        <w:spacing w:before="120"/>
        <w:jc w:val="both"/>
        <w:rPr>
          <w:rFonts w:ascii="Calibri" w:hAnsi="Calibri"/>
          <w:sz w:val="24"/>
          <w:szCs w:val="24"/>
        </w:rPr>
      </w:pPr>
      <w:r w:rsidRPr="00261598">
        <w:rPr>
          <w:rFonts w:ascii="Calibri" w:hAnsi="Calibri"/>
          <w:sz w:val="24"/>
          <w:szCs w:val="24"/>
        </w:rPr>
        <w:t>Para o estudo da contribución do PE á mitigación do cambio climático en término de compensación de emisión de gases de efecto invernadoiro (CO</w:t>
      </w:r>
      <w:r w:rsidRPr="00261598">
        <w:rPr>
          <w:rFonts w:ascii="Calibri" w:hAnsi="Calibri"/>
          <w:sz w:val="24"/>
          <w:szCs w:val="24"/>
          <w:vertAlign w:val="subscript"/>
        </w:rPr>
        <w:t>2</w:t>
      </w:r>
      <w:r w:rsidRPr="00261598">
        <w:rPr>
          <w:rFonts w:ascii="Calibri" w:hAnsi="Calibri"/>
          <w:sz w:val="24"/>
          <w:szCs w:val="24"/>
        </w:rPr>
        <w:t>), o EsIA tan só ten en conta a fase de construcción do PE a fase de explotación e a fase de desmantelamento. Porén, debe terse en conta o ciclo de vida completo do PE que comprende:</w:t>
      </w:r>
    </w:p>
    <w:p w14:paraId="37680EBB" w14:textId="77777777" w:rsidR="00AE5A25" w:rsidRPr="00261598" w:rsidRDefault="00AE5A25" w:rsidP="00AE5A25">
      <w:pPr>
        <w:pStyle w:val="Textosinformato"/>
        <w:numPr>
          <w:ilvl w:val="0"/>
          <w:numId w:val="24"/>
        </w:numPr>
        <w:spacing w:before="120"/>
        <w:ind w:left="1080"/>
        <w:jc w:val="both"/>
        <w:rPr>
          <w:rFonts w:ascii="Calibri" w:hAnsi="Calibri"/>
          <w:sz w:val="24"/>
          <w:szCs w:val="24"/>
        </w:rPr>
      </w:pPr>
      <w:r w:rsidRPr="00261598">
        <w:rPr>
          <w:rFonts w:ascii="Calibri" w:hAnsi="Calibri"/>
          <w:sz w:val="24"/>
          <w:szCs w:val="24"/>
        </w:rPr>
        <w:t>A extracción e procesado das materias primas necesarias para a fabricación dos aeroxeradores e de todos os materiais auxiliares. (</w:t>
      </w:r>
      <w:r w:rsidRPr="00261598">
        <w:rPr>
          <w:rFonts w:ascii="Calibri" w:hAnsi="Calibri"/>
          <w:b/>
          <w:bCs/>
          <w:sz w:val="24"/>
          <w:szCs w:val="24"/>
        </w:rPr>
        <w:t>Non se considera no EsIA</w:t>
      </w:r>
      <w:r w:rsidRPr="00261598">
        <w:rPr>
          <w:rFonts w:ascii="Calibri" w:hAnsi="Calibri"/>
          <w:sz w:val="24"/>
          <w:szCs w:val="24"/>
        </w:rPr>
        <w:t>)</w:t>
      </w:r>
    </w:p>
    <w:p w14:paraId="2E09F686" w14:textId="77777777" w:rsidR="00AE5A25" w:rsidRPr="00261598" w:rsidRDefault="00AE5A25" w:rsidP="00AE5A25">
      <w:pPr>
        <w:pStyle w:val="Textosinformato"/>
        <w:numPr>
          <w:ilvl w:val="0"/>
          <w:numId w:val="24"/>
        </w:numPr>
        <w:spacing w:before="120"/>
        <w:ind w:left="1080"/>
        <w:jc w:val="both"/>
        <w:rPr>
          <w:rFonts w:ascii="Calibri" w:hAnsi="Calibri"/>
          <w:sz w:val="24"/>
          <w:szCs w:val="24"/>
        </w:rPr>
      </w:pPr>
      <w:r w:rsidRPr="00261598">
        <w:rPr>
          <w:rFonts w:ascii="Calibri" w:hAnsi="Calibri"/>
          <w:sz w:val="24"/>
          <w:szCs w:val="24"/>
        </w:rPr>
        <w:t>O transporte dos materiais ata a zona de construcción. (</w:t>
      </w:r>
      <w:r w:rsidRPr="00261598">
        <w:rPr>
          <w:rFonts w:ascii="Calibri" w:hAnsi="Calibri"/>
          <w:b/>
          <w:bCs/>
          <w:sz w:val="24"/>
          <w:szCs w:val="24"/>
        </w:rPr>
        <w:t>Non se considera no EsIA</w:t>
      </w:r>
      <w:r w:rsidRPr="00261598">
        <w:rPr>
          <w:rFonts w:ascii="Calibri" w:hAnsi="Calibri"/>
          <w:sz w:val="24"/>
          <w:szCs w:val="24"/>
        </w:rPr>
        <w:t>)</w:t>
      </w:r>
    </w:p>
    <w:p w14:paraId="4F433D4F" w14:textId="77777777" w:rsidR="00AE5A25" w:rsidRPr="00261598" w:rsidRDefault="00AE5A25" w:rsidP="00AE5A25">
      <w:pPr>
        <w:pStyle w:val="Textosinformato"/>
        <w:numPr>
          <w:ilvl w:val="0"/>
          <w:numId w:val="24"/>
        </w:numPr>
        <w:spacing w:before="120"/>
        <w:ind w:left="1080"/>
        <w:jc w:val="both"/>
        <w:rPr>
          <w:rFonts w:ascii="Calibri" w:hAnsi="Calibri"/>
          <w:sz w:val="24"/>
          <w:szCs w:val="24"/>
        </w:rPr>
      </w:pPr>
      <w:r w:rsidRPr="00261598">
        <w:rPr>
          <w:rFonts w:ascii="Calibri" w:hAnsi="Calibri"/>
          <w:sz w:val="24"/>
          <w:szCs w:val="24"/>
        </w:rPr>
        <w:t>A construcción e a fase de funcionamento do PE.</w:t>
      </w:r>
    </w:p>
    <w:p w14:paraId="6193D63D" w14:textId="77777777" w:rsidR="00AE5A25" w:rsidRPr="00261598" w:rsidRDefault="00AE5A25" w:rsidP="00AE5A25">
      <w:pPr>
        <w:pStyle w:val="Textosinformato"/>
        <w:numPr>
          <w:ilvl w:val="0"/>
          <w:numId w:val="24"/>
        </w:numPr>
        <w:spacing w:before="120"/>
        <w:ind w:left="1080"/>
        <w:jc w:val="both"/>
        <w:rPr>
          <w:rFonts w:ascii="Calibri" w:hAnsi="Calibri"/>
          <w:sz w:val="24"/>
          <w:szCs w:val="24"/>
        </w:rPr>
      </w:pPr>
      <w:r w:rsidRPr="00261598">
        <w:rPr>
          <w:rFonts w:ascii="Calibri" w:hAnsi="Calibri"/>
          <w:sz w:val="24"/>
          <w:szCs w:val="24"/>
        </w:rPr>
        <w:t>O desmantelamento e a xestión dos materiais e residuos ó final da súa vida útil.</w:t>
      </w:r>
    </w:p>
    <w:p w14:paraId="7F8EDA7E" w14:textId="77777777" w:rsidR="00AE5A25" w:rsidRPr="00261598" w:rsidRDefault="00AE5A25" w:rsidP="00AE5A25">
      <w:pPr>
        <w:pStyle w:val="Textosinformato"/>
        <w:spacing w:before="120"/>
        <w:jc w:val="both"/>
        <w:rPr>
          <w:rFonts w:ascii="Calibri" w:hAnsi="Calibri"/>
          <w:sz w:val="24"/>
          <w:szCs w:val="24"/>
        </w:rPr>
      </w:pPr>
      <w:bookmarkStart w:id="428" w:name="_Hlk91610075"/>
      <w:r w:rsidRPr="00261598">
        <w:rPr>
          <w:rFonts w:ascii="Calibri" w:hAnsi="Calibri"/>
          <w:sz w:val="24"/>
          <w:szCs w:val="24"/>
        </w:rPr>
        <w:t>Según os datos publicados, a maior contribución á Pegada de Carbono dun PE, con moita diferencia, corresponde á extracción e procesado das materias primas para a fabricación dos aeroxeradores (Resinas, fibra de vidro, ferro fundido, formigón, ferro, aceiro, silicatos, cobre…). Así, esta fase supón un promedio do 85% das emisicións de CO</w:t>
      </w:r>
      <w:r w:rsidRPr="00261598">
        <w:rPr>
          <w:rFonts w:ascii="Calibri" w:hAnsi="Calibri"/>
          <w:sz w:val="24"/>
          <w:szCs w:val="24"/>
          <w:vertAlign w:val="subscript"/>
        </w:rPr>
        <w:t>2</w:t>
      </w:r>
      <w:r w:rsidRPr="00261598">
        <w:rPr>
          <w:rFonts w:ascii="Calibri" w:hAnsi="Calibri"/>
          <w:sz w:val="24"/>
          <w:szCs w:val="24"/>
        </w:rPr>
        <w:t xml:space="preserve"> dun PE, tendo en conta todo o seu ciclo de vida completo, mentres que tan só o 8% corresponde á fase de construcción e funcionamento do PE.</w:t>
      </w:r>
    </w:p>
    <w:p w14:paraId="2661090A" w14:textId="564414D9" w:rsidR="004672E3" w:rsidRDefault="00AE5A25" w:rsidP="00AE5A25">
      <w:pPr>
        <w:pStyle w:val="Textosinformato"/>
        <w:pBdr>
          <w:top w:val="single" w:sz="4" w:space="1" w:color="auto"/>
          <w:left w:val="single" w:sz="4" w:space="4" w:color="auto"/>
          <w:bottom w:val="single" w:sz="4" w:space="1" w:color="auto"/>
          <w:right w:val="single" w:sz="4" w:space="4" w:color="auto"/>
        </w:pBdr>
        <w:spacing w:before="120"/>
        <w:jc w:val="both"/>
        <w:rPr>
          <w:rFonts w:ascii="Calibri" w:hAnsi="Calibri"/>
          <w:b/>
          <w:bCs/>
          <w:sz w:val="24"/>
          <w:szCs w:val="24"/>
        </w:rPr>
      </w:pPr>
      <w:bookmarkStart w:id="429" w:name="_Hlk91610116"/>
      <w:bookmarkEnd w:id="428"/>
      <w:r>
        <w:rPr>
          <w:rFonts w:ascii="Calibri" w:hAnsi="Calibri"/>
          <w:b/>
          <w:bCs/>
          <w:sz w:val="24"/>
          <w:szCs w:val="24"/>
        </w:rPr>
        <w:t>Non se valora a</w:t>
      </w:r>
      <w:r w:rsidRPr="00261598">
        <w:rPr>
          <w:rFonts w:ascii="Calibri" w:hAnsi="Calibri"/>
          <w:b/>
          <w:bCs/>
          <w:sz w:val="24"/>
          <w:szCs w:val="24"/>
        </w:rPr>
        <w:t xml:space="preserve"> compensación de emisión de gases de efecto invernadoiro (CO</w:t>
      </w:r>
      <w:r w:rsidRPr="00261598">
        <w:rPr>
          <w:rFonts w:ascii="Calibri" w:hAnsi="Calibri"/>
          <w:b/>
          <w:bCs/>
          <w:sz w:val="24"/>
          <w:szCs w:val="24"/>
          <w:vertAlign w:val="subscript"/>
        </w:rPr>
        <w:t>2</w:t>
      </w:r>
      <w:r w:rsidRPr="00261598">
        <w:rPr>
          <w:rFonts w:ascii="Calibri" w:hAnsi="Calibri"/>
          <w:b/>
          <w:bCs/>
          <w:sz w:val="24"/>
          <w:szCs w:val="24"/>
        </w:rPr>
        <w:t xml:space="preserve">) </w:t>
      </w:r>
      <w:r>
        <w:rPr>
          <w:rFonts w:ascii="Calibri" w:hAnsi="Calibri"/>
          <w:b/>
          <w:bCs/>
          <w:sz w:val="24"/>
          <w:szCs w:val="24"/>
        </w:rPr>
        <w:t>n</w:t>
      </w:r>
      <w:r w:rsidRPr="00261598">
        <w:rPr>
          <w:rFonts w:ascii="Calibri" w:hAnsi="Calibri"/>
          <w:b/>
          <w:bCs/>
          <w:sz w:val="24"/>
          <w:szCs w:val="24"/>
        </w:rPr>
        <w:t>o EsIA</w:t>
      </w:r>
      <w:r>
        <w:rPr>
          <w:rFonts w:ascii="Calibri" w:hAnsi="Calibri"/>
          <w:b/>
          <w:bCs/>
          <w:sz w:val="24"/>
          <w:szCs w:val="24"/>
        </w:rPr>
        <w:t>.</w:t>
      </w:r>
    </w:p>
    <w:p w14:paraId="0CE0A12D" w14:textId="4C1B7DBD" w:rsidR="004672E3" w:rsidRDefault="004672E3">
      <w:pPr>
        <w:spacing w:after="0" w:line="240" w:lineRule="auto"/>
        <w:rPr>
          <w:rFonts w:eastAsia="Times New Roman" w:cs="Courier New"/>
          <w:b/>
          <w:bCs/>
          <w:sz w:val="24"/>
          <w:szCs w:val="24"/>
          <w:lang w:eastAsia="es-ES"/>
        </w:rPr>
      </w:pPr>
    </w:p>
    <w:p w14:paraId="73A48272" w14:textId="77777777" w:rsidR="00AE5A25" w:rsidRPr="001201C6" w:rsidRDefault="00AE5A25" w:rsidP="00AE5A25">
      <w:pPr>
        <w:pStyle w:val="Prrafodelista"/>
        <w:numPr>
          <w:ilvl w:val="0"/>
          <w:numId w:val="11"/>
        </w:numPr>
        <w:shd w:val="clear" w:color="auto" w:fill="99CCFF"/>
        <w:spacing w:before="120"/>
        <w:ind w:left="1843" w:hanging="1843"/>
        <w:jc w:val="both"/>
        <w:outlineLvl w:val="0"/>
        <w:rPr>
          <w:b/>
          <w:sz w:val="24"/>
          <w:szCs w:val="24"/>
        </w:rPr>
      </w:pPr>
      <w:bookmarkStart w:id="430" w:name="_Hlk87742655"/>
      <w:bookmarkStart w:id="431" w:name="_Toc88004930"/>
      <w:bookmarkStart w:id="432" w:name="_Toc132511026"/>
      <w:bookmarkEnd w:id="429"/>
      <w:r w:rsidRPr="001201C6">
        <w:rPr>
          <w:b/>
          <w:sz w:val="24"/>
          <w:szCs w:val="24"/>
        </w:rPr>
        <w:t>Deficiente avaliación dos efectos ambientais sinérxicos e</w:t>
      </w:r>
      <w:r w:rsidRPr="001201C6">
        <w:rPr>
          <w:b/>
          <w:bCs/>
          <w:sz w:val="24"/>
          <w:szCs w:val="24"/>
        </w:rPr>
        <w:t xml:space="preserve"> </w:t>
      </w:r>
      <w:r w:rsidRPr="001201C6">
        <w:rPr>
          <w:b/>
          <w:sz w:val="24"/>
          <w:szCs w:val="24"/>
        </w:rPr>
        <w:t>acumulativos</w:t>
      </w:r>
      <w:bookmarkEnd w:id="430"/>
      <w:r w:rsidRPr="001201C6">
        <w:rPr>
          <w:b/>
          <w:sz w:val="24"/>
          <w:szCs w:val="24"/>
        </w:rPr>
        <w:t>.</w:t>
      </w:r>
      <w:bookmarkEnd w:id="431"/>
      <w:bookmarkEnd w:id="432"/>
    </w:p>
    <w:p w14:paraId="092D4A00" w14:textId="77777777" w:rsidR="00AE5A25" w:rsidRPr="00501ECF" w:rsidRDefault="00AE5A25" w:rsidP="00AE5A25">
      <w:pPr>
        <w:autoSpaceDE w:val="0"/>
        <w:autoSpaceDN w:val="0"/>
        <w:adjustRightInd w:val="0"/>
        <w:spacing w:after="0" w:line="240" w:lineRule="auto"/>
      </w:pPr>
      <w:r w:rsidRPr="00501ECF">
        <w:t xml:space="preserve">O estudo de efectos sinérxicos e acumulativos é inadecuado e está fóra de contexto. </w:t>
      </w:r>
      <w:r>
        <w:t>Non se ten en conta o Proxecto básico de central hidroeléctrica reversible de auga mariña en Punta Centinela (Oia) que se superpón coa poligonal do PE Torroña I</w:t>
      </w:r>
      <w:r w:rsidRPr="00501ECF">
        <w:t>.</w:t>
      </w:r>
    </w:p>
    <w:p w14:paraId="297C9BC5" w14:textId="77777777" w:rsidR="00AE5A25" w:rsidRPr="003D6D89" w:rsidRDefault="00AE5A25" w:rsidP="00AE5A25">
      <w:pPr>
        <w:pStyle w:val="Ttulo2"/>
        <w:ind w:left="426"/>
        <w:rPr>
          <w:rFonts w:ascii="Calibri" w:hAnsi="Calibri" w:cs="Calibri"/>
          <w:color w:val="000000"/>
          <w:sz w:val="24"/>
          <w:szCs w:val="24"/>
        </w:rPr>
      </w:pPr>
      <w:bookmarkStart w:id="433" w:name="_Hlk87742679"/>
      <w:bookmarkStart w:id="434" w:name="_Toc88004931"/>
      <w:bookmarkStart w:id="435" w:name="_Toc132511027"/>
      <w:r w:rsidRPr="003D6D89">
        <w:rPr>
          <w:rFonts w:ascii="Calibri" w:hAnsi="Calibri" w:cs="Calibri"/>
          <w:color w:val="000000"/>
          <w:sz w:val="24"/>
          <w:szCs w:val="24"/>
        </w:rPr>
        <w:t>4</w:t>
      </w:r>
      <w:r>
        <w:rPr>
          <w:rFonts w:ascii="Calibri" w:hAnsi="Calibri" w:cs="Calibri"/>
          <w:color w:val="000000"/>
          <w:sz w:val="24"/>
          <w:szCs w:val="24"/>
        </w:rPr>
        <w:t>3</w:t>
      </w:r>
      <w:r w:rsidRPr="003D6D89">
        <w:rPr>
          <w:rFonts w:ascii="Calibri" w:hAnsi="Calibri" w:cs="Calibri"/>
          <w:color w:val="000000"/>
          <w:sz w:val="24"/>
          <w:szCs w:val="24"/>
        </w:rPr>
        <w:t>.1.- Sobre os efectos sinérxicos e acumulativos aos hábitats de interés comunitario</w:t>
      </w:r>
      <w:bookmarkEnd w:id="433"/>
      <w:r w:rsidRPr="003D6D89">
        <w:rPr>
          <w:rFonts w:ascii="Calibri" w:hAnsi="Calibri" w:cs="Calibri"/>
          <w:color w:val="000000"/>
          <w:sz w:val="24"/>
          <w:szCs w:val="24"/>
        </w:rPr>
        <w:t>.</w:t>
      </w:r>
      <w:bookmarkEnd w:id="434"/>
      <w:bookmarkEnd w:id="435"/>
    </w:p>
    <w:p w14:paraId="2C70B021" w14:textId="77777777" w:rsidR="00AE5A25" w:rsidRPr="00501ECF" w:rsidRDefault="00AE5A25" w:rsidP="00AE5A25">
      <w:pPr>
        <w:pStyle w:val="Textosinformato"/>
        <w:spacing w:before="120"/>
        <w:ind w:left="709"/>
        <w:jc w:val="both"/>
        <w:rPr>
          <w:rFonts w:ascii="Calibri" w:hAnsi="Calibri"/>
          <w:sz w:val="24"/>
          <w:szCs w:val="24"/>
        </w:rPr>
      </w:pPr>
      <w:r w:rsidRPr="00501ECF">
        <w:rPr>
          <w:rFonts w:ascii="Calibri" w:hAnsi="Calibri"/>
          <w:sz w:val="24"/>
          <w:szCs w:val="24"/>
        </w:rPr>
        <w:t>No ANEXO II de Cartografía dos novos LIC</w:t>
      </w:r>
      <w:r>
        <w:rPr>
          <w:rStyle w:val="Refdenotaalpie"/>
          <w:rFonts w:ascii="Calibri" w:hAnsi="Calibri"/>
          <w:sz w:val="24"/>
          <w:szCs w:val="24"/>
        </w:rPr>
        <w:footnoteReference w:id="58"/>
      </w:r>
      <w:r w:rsidRPr="00501ECF">
        <w:rPr>
          <w:rFonts w:ascii="Calibri" w:hAnsi="Calibri"/>
          <w:sz w:val="24"/>
          <w:szCs w:val="24"/>
        </w:rPr>
        <w:t xml:space="preserve"> propúxose a creación do LIC Serra da Groba e Monte da Valga (ES1140018) e do LIC Costa de Oia (ES1140019) no procedemento de ampliación mediante o ANUNCIO do 21 de decembro de 2011, da Dirección Xeral de Conservación da Natureza. Ambos foron considerados de escasa </w:t>
      </w:r>
      <w:r w:rsidRPr="00501ECF">
        <w:rPr>
          <w:rFonts w:ascii="Calibri" w:hAnsi="Calibri"/>
          <w:sz w:val="24"/>
          <w:szCs w:val="24"/>
        </w:rPr>
        <w:lastRenderedPageBreak/>
        <w:t>entidade no seu momento por non ofrecer a protección adecuada ós hábitats de interés comunitario presentes. En 2014 (DOG do 31 de marzo de 2014)</w:t>
      </w:r>
      <w:r>
        <w:rPr>
          <w:rStyle w:val="Refdenotaalpie"/>
          <w:rFonts w:ascii="Calibri" w:hAnsi="Calibri"/>
          <w:sz w:val="24"/>
          <w:szCs w:val="24"/>
        </w:rPr>
        <w:footnoteReference w:id="59"/>
      </w:r>
      <w:r w:rsidRPr="00501ECF">
        <w:rPr>
          <w:rFonts w:ascii="Calibri" w:hAnsi="Calibri"/>
          <w:sz w:val="24"/>
          <w:szCs w:val="24"/>
        </w:rPr>
        <w:t xml:space="preserve"> nin na Declaración de zonas especiais de conservación (ZEC) nin na aprobación do Plan Director da Rede Natura de Galicia, foron incluidos estes dous novos LIC propostos. Xa en 2004 a lista de lugares de importancia comunitaria (LIC) en Galicia foi considerada como insuficiente por parte da Comisión Europea. Nas súas Decisións 2004/813/CEE (DOUE nº L 387, 29/12/2004) e 2006/613/CE (DOUE nº L 259, 21/09/2006) estableceu para cada unha das rexións bioxeográficas e para cada estado membro, as necesidades de mellora na contribución á rede Natura 2000 que se debían contemplar nas futuras ampliacións, corrixindo as insuficiencias detectadas ou mellorando a información.</w:t>
      </w:r>
    </w:p>
    <w:p w14:paraId="7A21BA7A" w14:textId="77777777" w:rsidR="00AE5A25" w:rsidRPr="00501ECF" w:rsidRDefault="00AE5A25" w:rsidP="00AE5A25">
      <w:pPr>
        <w:pStyle w:val="Textosinformato"/>
        <w:spacing w:before="120"/>
        <w:ind w:left="709"/>
        <w:jc w:val="both"/>
        <w:rPr>
          <w:rFonts w:ascii="Calibri" w:hAnsi="Calibri"/>
          <w:sz w:val="24"/>
          <w:szCs w:val="24"/>
        </w:rPr>
      </w:pPr>
      <w:r w:rsidRPr="00501ECF">
        <w:rPr>
          <w:rFonts w:ascii="Calibri" w:hAnsi="Calibri"/>
          <w:sz w:val="24"/>
          <w:szCs w:val="24"/>
        </w:rPr>
        <w:t>Recentemente (2 de xullo de 2020) a Comisión Europea instou a España (carta de emprazamento</w:t>
      </w:r>
      <w:r>
        <w:rPr>
          <w:rStyle w:val="Refdenotaalpie"/>
          <w:rFonts w:ascii="Calibri" w:hAnsi="Calibri"/>
          <w:sz w:val="24"/>
          <w:szCs w:val="24"/>
        </w:rPr>
        <w:footnoteReference w:id="60"/>
      </w:r>
      <w:r w:rsidRPr="00501ECF">
        <w:rPr>
          <w:rFonts w:ascii="Calibri" w:hAnsi="Calibri"/>
          <w:sz w:val="24"/>
          <w:szCs w:val="24"/>
        </w:rPr>
        <w:t>, nº de infracción 20152003) a completar a designación como zona especial de conservación (ZEC) de todos os lugares de importancia comunitaria (LIC) das rexións alpinas, atlántica e mediterránea, e a adoptar medidas e obxectivos detallados e específicos para cada lugar no caso dunha parte representativa destas zonas especiais de conservación</w:t>
      </w:r>
      <w:r>
        <w:rPr>
          <w:rStyle w:val="Refdenotaalpie"/>
          <w:rFonts w:ascii="Calibri" w:hAnsi="Calibri"/>
          <w:sz w:val="24"/>
          <w:szCs w:val="24"/>
        </w:rPr>
        <w:footnoteReference w:id="61"/>
      </w:r>
      <w:r w:rsidRPr="00501ECF">
        <w:rPr>
          <w:rFonts w:ascii="Calibri" w:hAnsi="Calibri"/>
          <w:sz w:val="24"/>
          <w:szCs w:val="24"/>
        </w:rPr>
        <w:t>. A pesar de que Galicia dispón dun Plan Director da Rede Natura 2000, a Comisión Europea pide un maior esforzo a Galicia xa que entende que “as medidas de conservación recollidas no plan son demasiado vagas e indeterminadas e non ofrecen, polo tanto, suficiente claridade para a súa aplicación”</w:t>
      </w:r>
      <w:r>
        <w:rPr>
          <w:rStyle w:val="Refdenotaalpie"/>
          <w:rFonts w:ascii="Calibri" w:hAnsi="Calibri"/>
          <w:sz w:val="24"/>
          <w:szCs w:val="24"/>
        </w:rPr>
        <w:footnoteReference w:id="62"/>
      </w:r>
      <w:r w:rsidRPr="00501ECF">
        <w:rPr>
          <w:rFonts w:ascii="Calibri" w:hAnsi="Calibri"/>
          <w:sz w:val="24"/>
          <w:szCs w:val="24"/>
        </w:rPr>
        <w:t>.</w:t>
      </w:r>
    </w:p>
    <w:p w14:paraId="7AFBC803" w14:textId="77777777" w:rsidR="00AE5A25" w:rsidRPr="00501ECF" w:rsidRDefault="00AE5A25" w:rsidP="00AE5A25">
      <w:pPr>
        <w:autoSpaceDE w:val="0"/>
        <w:autoSpaceDN w:val="0"/>
        <w:adjustRightInd w:val="0"/>
        <w:spacing w:before="120" w:after="0" w:line="240" w:lineRule="auto"/>
        <w:ind w:left="709" w:right="-51"/>
        <w:jc w:val="both"/>
        <w:rPr>
          <w:sz w:val="24"/>
          <w:szCs w:val="24"/>
          <w:lang w:eastAsia="es-ES"/>
        </w:rPr>
      </w:pPr>
      <w:r w:rsidRPr="00501ECF">
        <w:rPr>
          <w:sz w:val="24"/>
          <w:szCs w:val="24"/>
          <w:lang w:eastAsia="es-ES"/>
        </w:rPr>
        <w:t>A continuación indícanse os hábitats recollidos na Directiva 92/43/CEE presentes na Serra da Groba situados dentro da poligonal dos parques eólicos (</w:t>
      </w:r>
      <w:r w:rsidRPr="00501ECF">
        <w:rPr>
          <w:i/>
          <w:sz w:val="24"/>
          <w:szCs w:val="24"/>
          <w:lang w:eastAsia="es-ES"/>
        </w:rPr>
        <w:t>os códigos numéricos correspóndense cos indicados na Directiva. Os sinalados cun * considéranse PRIORITARIOS</w:t>
      </w:r>
      <w:r w:rsidRPr="00501ECF">
        <w:rPr>
          <w:sz w:val="24"/>
          <w:szCs w:val="24"/>
          <w:lang w:eastAsia="es-ES"/>
        </w:rPr>
        <w:t>):</w:t>
      </w:r>
    </w:p>
    <w:p w14:paraId="2835184C" w14:textId="77777777" w:rsidR="00AE5A25" w:rsidRPr="00501ECF" w:rsidRDefault="00AE5A25" w:rsidP="00AE5A25">
      <w:pPr>
        <w:spacing w:before="120" w:after="0" w:line="240" w:lineRule="auto"/>
        <w:ind w:firstLine="709"/>
        <w:jc w:val="both"/>
        <w:rPr>
          <w:rFonts w:cs="Courier New"/>
          <w:sz w:val="24"/>
          <w:szCs w:val="24"/>
          <w:lang w:eastAsia="es-ES"/>
        </w:rPr>
      </w:pPr>
      <w:r w:rsidRPr="00501ECF">
        <w:rPr>
          <w:rFonts w:cs="Courier New"/>
          <w:sz w:val="24"/>
          <w:szCs w:val="24"/>
          <w:lang w:eastAsia="es-ES"/>
        </w:rPr>
        <w:t>3. hábitats de auga doce</w:t>
      </w:r>
    </w:p>
    <w:p w14:paraId="17F1E32B" w14:textId="77777777" w:rsidR="00AE5A25" w:rsidRPr="00501ECF" w:rsidRDefault="00AE5A25" w:rsidP="00AE5A25">
      <w:pPr>
        <w:spacing w:after="0" w:line="240" w:lineRule="auto"/>
        <w:ind w:left="1797" w:hanging="357"/>
        <w:jc w:val="both"/>
        <w:rPr>
          <w:rFonts w:cs="Calibri"/>
          <w:sz w:val="24"/>
          <w:szCs w:val="24"/>
          <w:lang w:eastAsia="es-ES"/>
        </w:rPr>
      </w:pPr>
      <w:r w:rsidRPr="00501ECF">
        <w:rPr>
          <w:rFonts w:cs="Calibri"/>
          <w:sz w:val="24"/>
          <w:szCs w:val="24"/>
          <w:lang w:eastAsia="es-ES"/>
        </w:rPr>
        <w:t xml:space="preserve">31. Augas </w:t>
      </w:r>
      <w:r w:rsidRPr="00501ECF">
        <w:rPr>
          <w:rFonts w:cs="Courier New"/>
          <w:sz w:val="24"/>
          <w:szCs w:val="24"/>
          <w:lang w:eastAsia="es-ES"/>
        </w:rPr>
        <w:t>estancadas</w:t>
      </w:r>
    </w:p>
    <w:p w14:paraId="35A4AE01" w14:textId="77777777" w:rsidR="00AE5A25" w:rsidRPr="00501ECF" w:rsidRDefault="00AE5A25" w:rsidP="00AE5A25">
      <w:pPr>
        <w:spacing w:after="0" w:line="240" w:lineRule="auto"/>
        <w:ind w:left="2700" w:hanging="576"/>
        <w:jc w:val="both"/>
        <w:rPr>
          <w:rFonts w:cs="Calibri"/>
          <w:sz w:val="24"/>
          <w:szCs w:val="24"/>
          <w:lang w:eastAsia="es-ES"/>
        </w:rPr>
      </w:pPr>
      <w:r w:rsidRPr="00501ECF">
        <w:rPr>
          <w:rFonts w:cs="Calibri"/>
          <w:sz w:val="24"/>
          <w:szCs w:val="24"/>
          <w:lang w:eastAsia="es-ES"/>
        </w:rPr>
        <w:t xml:space="preserve">3110 Augas </w:t>
      </w:r>
      <w:r w:rsidRPr="00501ECF">
        <w:rPr>
          <w:rFonts w:cs="Courier New"/>
          <w:sz w:val="24"/>
          <w:szCs w:val="24"/>
          <w:lang w:eastAsia="es-ES"/>
        </w:rPr>
        <w:t>oligotróficas</w:t>
      </w:r>
      <w:r w:rsidRPr="00501ECF">
        <w:rPr>
          <w:rFonts w:cs="Calibri"/>
          <w:sz w:val="24"/>
          <w:szCs w:val="24"/>
          <w:lang w:eastAsia="es-ES"/>
        </w:rPr>
        <w:t xml:space="preserve"> cun contido en minerais moi baixo das chans areosas (</w:t>
      </w:r>
      <w:r w:rsidRPr="00501ECF">
        <w:rPr>
          <w:rFonts w:cs="Calibri"/>
          <w:i/>
          <w:iCs/>
          <w:sz w:val="24"/>
          <w:szCs w:val="24"/>
          <w:lang w:eastAsia="es-ES"/>
        </w:rPr>
        <w:t>Littorelletalia uniflorae</w:t>
      </w:r>
      <w:r w:rsidRPr="00501ECF">
        <w:rPr>
          <w:rFonts w:cs="Calibri"/>
          <w:sz w:val="24"/>
          <w:szCs w:val="24"/>
          <w:lang w:eastAsia="es-ES"/>
        </w:rPr>
        <w:t>).</w:t>
      </w:r>
    </w:p>
    <w:p w14:paraId="09B43DD9" w14:textId="77777777" w:rsidR="00AE5A25" w:rsidRPr="00501ECF" w:rsidRDefault="00AE5A25" w:rsidP="00AE5A25">
      <w:pPr>
        <w:spacing w:after="0" w:line="240" w:lineRule="auto"/>
        <w:ind w:left="1797" w:hanging="357"/>
        <w:jc w:val="both"/>
        <w:rPr>
          <w:rFonts w:cs="Courier New"/>
          <w:sz w:val="24"/>
          <w:szCs w:val="24"/>
          <w:lang w:eastAsia="es-ES"/>
        </w:rPr>
      </w:pPr>
      <w:r w:rsidRPr="00501ECF">
        <w:rPr>
          <w:rFonts w:cs="Courier New"/>
          <w:sz w:val="24"/>
          <w:szCs w:val="24"/>
          <w:lang w:eastAsia="es-ES"/>
        </w:rPr>
        <w:t>32. Augas correntes – tramos de cursos de auga con dinámica natural e semi-natural (leitos menores, medios e maiores), nos que a calidade da auga non presenta alteracións significativas.</w:t>
      </w:r>
    </w:p>
    <w:p w14:paraId="62B56D5F" w14:textId="77777777" w:rsidR="00AE5A25" w:rsidRPr="00501ECF" w:rsidRDefault="00AE5A25" w:rsidP="00AE5A25">
      <w:pPr>
        <w:spacing w:after="0" w:line="240" w:lineRule="auto"/>
        <w:ind w:left="2700" w:hanging="576"/>
        <w:jc w:val="both"/>
        <w:rPr>
          <w:rFonts w:cs="Courier New"/>
          <w:sz w:val="24"/>
          <w:szCs w:val="24"/>
          <w:lang w:eastAsia="es-ES"/>
        </w:rPr>
      </w:pPr>
      <w:r w:rsidRPr="00501ECF">
        <w:rPr>
          <w:rFonts w:cs="Courier New"/>
          <w:sz w:val="24"/>
          <w:szCs w:val="24"/>
          <w:lang w:eastAsia="es-ES"/>
        </w:rPr>
        <w:t xml:space="preserve">3260 Ríos, de pisos de planicie a montano con vexetación de </w:t>
      </w:r>
      <w:r w:rsidRPr="00501ECF">
        <w:rPr>
          <w:rFonts w:cs="Courier New"/>
          <w:i/>
          <w:sz w:val="24"/>
          <w:szCs w:val="24"/>
          <w:lang w:eastAsia="es-ES"/>
        </w:rPr>
        <w:t>Ranunculion fluitantis</w:t>
      </w:r>
      <w:r w:rsidRPr="00501ECF">
        <w:rPr>
          <w:rFonts w:cs="Courier New"/>
          <w:sz w:val="24"/>
          <w:szCs w:val="24"/>
          <w:lang w:eastAsia="es-ES"/>
        </w:rPr>
        <w:t xml:space="preserve"> e </w:t>
      </w:r>
      <w:r w:rsidRPr="00501ECF">
        <w:rPr>
          <w:rFonts w:cs="Courier New"/>
          <w:i/>
          <w:sz w:val="24"/>
          <w:szCs w:val="24"/>
          <w:lang w:eastAsia="es-ES"/>
        </w:rPr>
        <w:t>Callitricho-Batrachion.</w:t>
      </w:r>
    </w:p>
    <w:p w14:paraId="6531B08C" w14:textId="77777777" w:rsidR="00AE5A25" w:rsidRPr="00501ECF" w:rsidRDefault="00AE5A25" w:rsidP="00AE5A25">
      <w:pPr>
        <w:spacing w:before="120" w:after="0" w:line="240" w:lineRule="auto"/>
        <w:ind w:firstLine="709"/>
        <w:jc w:val="both"/>
        <w:rPr>
          <w:rFonts w:cs="Courier New"/>
          <w:sz w:val="24"/>
          <w:szCs w:val="24"/>
          <w:lang w:eastAsia="es-ES"/>
        </w:rPr>
      </w:pPr>
      <w:r w:rsidRPr="00501ECF">
        <w:rPr>
          <w:rFonts w:cs="Courier New"/>
          <w:sz w:val="24"/>
          <w:szCs w:val="24"/>
          <w:lang w:eastAsia="es-ES"/>
        </w:rPr>
        <w:t>4. Uceiras e matogueiras de zona temperada</w:t>
      </w:r>
    </w:p>
    <w:p w14:paraId="3E4EDF4C" w14:textId="77777777" w:rsidR="00AE5A25" w:rsidRPr="00501ECF" w:rsidRDefault="00AE5A25" w:rsidP="00AE5A25">
      <w:pPr>
        <w:spacing w:after="0" w:line="240" w:lineRule="auto"/>
        <w:ind w:left="1416" w:firstLine="708"/>
        <w:jc w:val="both"/>
        <w:rPr>
          <w:rFonts w:cs="Courier New"/>
          <w:sz w:val="24"/>
          <w:szCs w:val="24"/>
          <w:lang w:eastAsia="es-ES"/>
        </w:rPr>
      </w:pPr>
      <w:r w:rsidRPr="00501ECF">
        <w:rPr>
          <w:rFonts w:cs="Courier New"/>
          <w:sz w:val="24"/>
          <w:szCs w:val="24"/>
          <w:lang w:eastAsia="es-ES"/>
        </w:rPr>
        <w:t xml:space="preserve">4020 *Uceiras húmidas atlánticas de zonas temperadas de </w:t>
      </w:r>
      <w:r w:rsidRPr="00501ECF">
        <w:rPr>
          <w:rFonts w:cs="Courier New"/>
          <w:i/>
          <w:sz w:val="24"/>
          <w:szCs w:val="24"/>
          <w:lang w:eastAsia="es-ES"/>
        </w:rPr>
        <w:t>Erica cilicaris</w:t>
      </w:r>
      <w:r w:rsidRPr="00501ECF">
        <w:rPr>
          <w:rFonts w:cs="Courier New"/>
          <w:sz w:val="24"/>
          <w:szCs w:val="24"/>
          <w:lang w:eastAsia="es-ES"/>
        </w:rPr>
        <w:t xml:space="preserve"> e </w:t>
      </w:r>
      <w:r w:rsidRPr="00501ECF">
        <w:rPr>
          <w:rFonts w:cs="Courier New"/>
          <w:i/>
          <w:sz w:val="24"/>
          <w:szCs w:val="24"/>
          <w:lang w:eastAsia="es-ES"/>
        </w:rPr>
        <w:t>Erica tetralix</w:t>
      </w:r>
      <w:r w:rsidRPr="00501ECF">
        <w:rPr>
          <w:rFonts w:cs="Courier New"/>
          <w:sz w:val="24"/>
          <w:szCs w:val="24"/>
          <w:lang w:eastAsia="es-ES"/>
        </w:rPr>
        <w:t>.</w:t>
      </w:r>
    </w:p>
    <w:p w14:paraId="72D94AC9" w14:textId="77777777" w:rsidR="00AE5A25" w:rsidRPr="00501ECF" w:rsidRDefault="00AE5A25" w:rsidP="00AE5A25">
      <w:pPr>
        <w:spacing w:after="0" w:line="240" w:lineRule="auto"/>
        <w:ind w:left="1416" w:firstLine="708"/>
        <w:jc w:val="both"/>
        <w:rPr>
          <w:rFonts w:cs="Courier New"/>
          <w:sz w:val="24"/>
          <w:szCs w:val="24"/>
          <w:lang w:eastAsia="es-ES"/>
        </w:rPr>
      </w:pPr>
      <w:r w:rsidRPr="00501ECF">
        <w:rPr>
          <w:rFonts w:cs="Courier New"/>
          <w:sz w:val="24"/>
          <w:szCs w:val="24"/>
          <w:lang w:eastAsia="es-ES"/>
        </w:rPr>
        <w:t>4030 Uceiras secas europeas</w:t>
      </w:r>
    </w:p>
    <w:p w14:paraId="1516FB9B" w14:textId="77777777" w:rsidR="00AE5A25" w:rsidRPr="00501ECF" w:rsidRDefault="00AE5A25" w:rsidP="00AE5A25">
      <w:pPr>
        <w:spacing w:before="120" w:after="0" w:line="240" w:lineRule="auto"/>
        <w:ind w:firstLine="708"/>
        <w:jc w:val="both"/>
        <w:rPr>
          <w:rFonts w:cs="Courier New"/>
          <w:sz w:val="24"/>
          <w:szCs w:val="24"/>
          <w:lang w:eastAsia="es-ES"/>
        </w:rPr>
      </w:pPr>
      <w:r w:rsidRPr="00501ECF">
        <w:rPr>
          <w:rFonts w:cs="Courier New"/>
          <w:sz w:val="24"/>
          <w:szCs w:val="24"/>
          <w:lang w:eastAsia="es-ES"/>
        </w:rPr>
        <w:t>6. Formacións herbosas naturais e seminaturais</w:t>
      </w:r>
    </w:p>
    <w:p w14:paraId="2DBF2314" w14:textId="77777777" w:rsidR="00AE5A25" w:rsidRPr="00501ECF" w:rsidRDefault="00AE5A25" w:rsidP="00AE5A25">
      <w:pPr>
        <w:spacing w:after="0" w:line="240" w:lineRule="auto"/>
        <w:ind w:firstLine="709"/>
        <w:jc w:val="both"/>
        <w:rPr>
          <w:rFonts w:cs="Courier New"/>
          <w:sz w:val="24"/>
          <w:szCs w:val="24"/>
          <w:lang w:eastAsia="es-ES"/>
        </w:rPr>
      </w:pPr>
      <w:r w:rsidRPr="00501ECF">
        <w:rPr>
          <w:rFonts w:cs="Courier New"/>
          <w:sz w:val="24"/>
          <w:szCs w:val="24"/>
          <w:lang w:eastAsia="es-ES"/>
        </w:rPr>
        <w:tab/>
        <w:t xml:space="preserve">6230 Formacións herbosas con </w:t>
      </w:r>
      <w:r w:rsidRPr="00501ECF">
        <w:rPr>
          <w:rFonts w:cs="Courier New"/>
          <w:i/>
          <w:sz w:val="24"/>
          <w:szCs w:val="24"/>
          <w:lang w:eastAsia="es-ES"/>
        </w:rPr>
        <w:t xml:space="preserve">Nardus </w:t>
      </w:r>
      <w:r w:rsidRPr="00501ECF">
        <w:rPr>
          <w:rFonts w:cs="Courier New"/>
          <w:sz w:val="24"/>
          <w:szCs w:val="24"/>
          <w:lang w:eastAsia="es-ES"/>
        </w:rPr>
        <w:t>(</w:t>
      </w:r>
      <w:r w:rsidRPr="00501ECF">
        <w:rPr>
          <w:rFonts w:cs="Courier New"/>
          <w:i/>
          <w:sz w:val="24"/>
          <w:szCs w:val="24"/>
          <w:lang w:eastAsia="es-ES"/>
        </w:rPr>
        <w:t>Nardus stricta</w:t>
      </w:r>
      <w:r w:rsidRPr="00501ECF">
        <w:rPr>
          <w:rFonts w:cs="Courier New"/>
          <w:sz w:val="24"/>
          <w:szCs w:val="24"/>
          <w:lang w:eastAsia="es-ES"/>
        </w:rPr>
        <w:t>)</w:t>
      </w:r>
    </w:p>
    <w:p w14:paraId="18B191D5" w14:textId="77777777" w:rsidR="00AE5A25" w:rsidRPr="00501ECF" w:rsidRDefault="00AE5A25" w:rsidP="00AE5A25">
      <w:pPr>
        <w:spacing w:after="0" w:line="240" w:lineRule="auto"/>
        <w:ind w:left="1985"/>
        <w:jc w:val="both"/>
        <w:rPr>
          <w:rFonts w:cs="Calibri"/>
          <w:sz w:val="24"/>
          <w:szCs w:val="24"/>
          <w:lang w:eastAsia="es-ES"/>
        </w:rPr>
      </w:pPr>
      <w:r w:rsidRPr="00501ECF">
        <w:rPr>
          <w:rFonts w:cs="Calibri"/>
          <w:sz w:val="24"/>
          <w:szCs w:val="24"/>
          <w:lang w:eastAsia="es-ES"/>
        </w:rPr>
        <w:lastRenderedPageBreak/>
        <w:t>Os cervunais están amplamente representados a través de todo o sistema hídrico da serra da Groba, en forma de pequenas e medianas poboacións e medrando fundamentalmente sobre depósitos turbosos, no bordo das charcas estacionais e en pasteiros higrófilos de montaña, acompañado en ocasións por Juncus squarrosus.</w:t>
      </w:r>
    </w:p>
    <w:p w14:paraId="6F344A81" w14:textId="77777777" w:rsidR="00AE5A25" w:rsidRPr="00501ECF" w:rsidRDefault="00AE5A25" w:rsidP="00AE5A25">
      <w:pPr>
        <w:spacing w:after="0" w:line="240" w:lineRule="auto"/>
        <w:ind w:left="1985"/>
        <w:jc w:val="both"/>
        <w:rPr>
          <w:rFonts w:cs="Calibri"/>
          <w:sz w:val="24"/>
          <w:szCs w:val="24"/>
          <w:lang w:eastAsia="es-ES"/>
        </w:rPr>
      </w:pPr>
      <w:r w:rsidRPr="00501ECF">
        <w:rPr>
          <w:rFonts w:cs="Calibri"/>
          <w:sz w:val="24"/>
          <w:szCs w:val="24"/>
          <w:lang w:eastAsia="es-ES"/>
        </w:rPr>
        <w:t>A presenza do cervún (</w:t>
      </w:r>
      <w:r w:rsidRPr="00501ECF">
        <w:rPr>
          <w:rFonts w:cs="Calibri"/>
          <w:i/>
          <w:iCs/>
          <w:sz w:val="24"/>
          <w:szCs w:val="24"/>
          <w:lang w:eastAsia="es-ES"/>
        </w:rPr>
        <w:t>Nardus stricta</w:t>
      </w:r>
      <w:r w:rsidRPr="00501ECF">
        <w:rPr>
          <w:rFonts w:cs="Calibri"/>
          <w:sz w:val="24"/>
          <w:szCs w:val="24"/>
          <w:lang w:eastAsia="es-ES"/>
        </w:rPr>
        <w:t>) na serra da Groba é de grande interese bioxeográfico, aparecendo citado na Nova Acta Científica Compostelana (NACC nº 15. 2006. páx. 59 e 60).</w:t>
      </w:r>
    </w:p>
    <w:p w14:paraId="441B248F" w14:textId="77777777" w:rsidR="00AE5A25" w:rsidRPr="00501ECF" w:rsidRDefault="00AE5A25" w:rsidP="00AE5A25">
      <w:pPr>
        <w:spacing w:before="120" w:after="0" w:line="240" w:lineRule="auto"/>
        <w:ind w:firstLine="708"/>
        <w:jc w:val="both"/>
        <w:rPr>
          <w:rFonts w:cs="Courier New"/>
          <w:sz w:val="24"/>
          <w:szCs w:val="24"/>
          <w:lang w:eastAsia="es-ES"/>
        </w:rPr>
      </w:pPr>
      <w:r w:rsidRPr="00501ECF">
        <w:rPr>
          <w:rFonts w:cs="Courier New"/>
          <w:sz w:val="24"/>
          <w:szCs w:val="24"/>
          <w:lang w:eastAsia="es-ES"/>
        </w:rPr>
        <w:t>7. Turbeiras altas, turbeiras baixas (fens e mires) e áreas pantanosas</w:t>
      </w:r>
    </w:p>
    <w:p w14:paraId="605658CA" w14:textId="77777777" w:rsidR="00AE5A25" w:rsidRPr="00501ECF" w:rsidRDefault="00AE5A25" w:rsidP="00AE5A25">
      <w:pPr>
        <w:spacing w:after="0" w:line="240" w:lineRule="auto"/>
        <w:jc w:val="both"/>
        <w:rPr>
          <w:rFonts w:cs="Courier New"/>
          <w:sz w:val="24"/>
          <w:szCs w:val="24"/>
          <w:lang w:eastAsia="es-ES"/>
        </w:rPr>
      </w:pPr>
      <w:r w:rsidRPr="00501ECF">
        <w:rPr>
          <w:rFonts w:cs="Courier New"/>
          <w:sz w:val="24"/>
          <w:szCs w:val="24"/>
          <w:lang w:eastAsia="es-ES"/>
        </w:rPr>
        <w:tab/>
      </w:r>
      <w:r w:rsidRPr="00501ECF">
        <w:rPr>
          <w:rFonts w:cs="Courier New"/>
          <w:sz w:val="24"/>
          <w:szCs w:val="24"/>
          <w:lang w:eastAsia="es-ES"/>
        </w:rPr>
        <w:tab/>
        <w:t>71. Turbeiras ácidas de esfagno</w:t>
      </w:r>
    </w:p>
    <w:p w14:paraId="6B992B3A" w14:textId="77777777" w:rsidR="00AE5A25" w:rsidRPr="00501ECF" w:rsidRDefault="00AE5A25" w:rsidP="00AE5A25">
      <w:pPr>
        <w:spacing w:after="0" w:line="240" w:lineRule="auto"/>
        <w:jc w:val="both"/>
        <w:rPr>
          <w:rFonts w:cs="Courier New"/>
          <w:sz w:val="24"/>
          <w:szCs w:val="24"/>
          <w:lang w:eastAsia="es-ES"/>
        </w:rPr>
      </w:pPr>
      <w:r w:rsidRPr="00501ECF">
        <w:rPr>
          <w:rFonts w:cs="Courier New"/>
          <w:sz w:val="24"/>
          <w:szCs w:val="24"/>
          <w:lang w:eastAsia="es-ES"/>
        </w:rPr>
        <w:tab/>
      </w:r>
      <w:r w:rsidRPr="00501ECF">
        <w:rPr>
          <w:rFonts w:cs="Courier New"/>
          <w:sz w:val="24"/>
          <w:szCs w:val="24"/>
          <w:lang w:eastAsia="es-ES"/>
        </w:rPr>
        <w:tab/>
      </w:r>
      <w:r w:rsidRPr="00501ECF">
        <w:rPr>
          <w:rFonts w:cs="Courier New"/>
          <w:sz w:val="24"/>
          <w:szCs w:val="24"/>
          <w:lang w:eastAsia="es-ES"/>
        </w:rPr>
        <w:tab/>
        <w:t>7110 *Turbeiras altas activas</w:t>
      </w:r>
    </w:p>
    <w:p w14:paraId="6E1C34D9" w14:textId="77777777" w:rsidR="00AE5A25" w:rsidRPr="00501ECF" w:rsidRDefault="00AE5A25" w:rsidP="00AE5A25">
      <w:pPr>
        <w:spacing w:after="0" w:line="240" w:lineRule="auto"/>
        <w:jc w:val="both"/>
        <w:rPr>
          <w:rFonts w:cs="Courier New"/>
          <w:sz w:val="24"/>
          <w:szCs w:val="24"/>
          <w:lang w:eastAsia="es-ES"/>
        </w:rPr>
      </w:pPr>
      <w:r w:rsidRPr="00501ECF">
        <w:rPr>
          <w:rFonts w:cs="Courier New"/>
          <w:sz w:val="24"/>
          <w:szCs w:val="24"/>
          <w:lang w:eastAsia="es-ES"/>
        </w:rPr>
        <w:tab/>
      </w:r>
      <w:r w:rsidRPr="00501ECF">
        <w:rPr>
          <w:rFonts w:cs="Courier New"/>
          <w:sz w:val="24"/>
          <w:szCs w:val="24"/>
          <w:lang w:eastAsia="es-ES"/>
        </w:rPr>
        <w:tab/>
      </w:r>
      <w:r w:rsidRPr="00501ECF">
        <w:rPr>
          <w:rFonts w:cs="Courier New"/>
          <w:sz w:val="24"/>
          <w:szCs w:val="24"/>
          <w:lang w:eastAsia="es-ES"/>
        </w:rPr>
        <w:tab/>
        <w:t>7140 “Mires” de transición</w:t>
      </w:r>
    </w:p>
    <w:p w14:paraId="4B244E82" w14:textId="77777777" w:rsidR="00AE5A25" w:rsidRPr="00501ECF" w:rsidRDefault="00AE5A25" w:rsidP="00AE5A25">
      <w:pPr>
        <w:spacing w:after="0" w:line="240" w:lineRule="auto"/>
        <w:jc w:val="both"/>
        <w:rPr>
          <w:rFonts w:cs="Courier New"/>
          <w:sz w:val="24"/>
          <w:szCs w:val="24"/>
          <w:lang w:eastAsia="es-ES"/>
        </w:rPr>
      </w:pPr>
      <w:r w:rsidRPr="00501ECF">
        <w:rPr>
          <w:rFonts w:cs="Courier New"/>
          <w:sz w:val="24"/>
          <w:szCs w:val="24"/>
          <w:lang w:eastAsia="es-ES"/>
        </w:rPr>
        <w:tab/>
      </w:r>
      <w:r w:rsidRPr="00501ECF">
        <w:rPr>
          <w:rFonts w:cs="Courier New"/>
          <w:sz w:val="24"/>
          <w:szCs w:val="24"/>
          <w:lang w:eastAsia="es-ES"/>
        </w:rPr>
        <w:tab/>
      </w:r>
      <w:r w:rsidRPr="00501ECF">
        <w:rPr>
          <w:rFonts w:cs="Courier New"/>
          <w:sz w:val="24"/>
          <w:szCs w:val="24"/>
          <w:lang w:eastAsia="es-ES"/>
        </w:rPr>
        <w:tab/>
        <w:t xml:space="preserve">7150 Depresións sobre sustratos turbosos de </w:t>
      </w:r>
      <w:r w:rsidRPr="00501ECF">
        <w:rPr>
          <w:rFonts w:cs="Courier New"/>
          <w:i/>
          <w:sz w:val="24"/>
          <w:szCs w:val="24"/>
          <w:lang w:eastAsia="es-ES"/>
        </w:rPr>
        <w:t>Rhynchosporion</w:t>
      </w:r>
    </w:p>
    <w:p w14:paraId="4AE4BDCC" w14:textId="77777777" w:rsidR="00AE5A25" w:rsidRPr="00501ECF" w:rsidRDefault="00AE5A25" w:rsidP="00AE5A25">
      <w:pPr>
        <w:spacing w:before="120" w:after="0" w:line="240" w:lineRule="auto"/>
        <w:jc w:val="both"/>
        <w:rPr>
          <w:rFonts w:cs="Courier New"/>
          <w:sz w:val="24"/>
          <w:szCs w:val="24"/>
          <w:lang w:eastAsia="es-ES"/>
        </w:rPr>
      </w:pPr>
      <w:r w:rsidRPr="00501ECF">
        <w:rPr>
          <w:rFonts w:cs="Courier New"/>
          <w:sz w:val="24"/>
          <w:szCs w:val="24"/>
          <w:lang w:eastAsia="es-ES"/>
        </w:rPr>
        <w:tab/>
        <w:t>8. Hábitats rochosos e covas</w:t>
      </w:r>
    </w:p>
    <w:p w14:paraId="44521C84" w14:textId="77777777" w:rsidR="00AE5A25" w:rsidRPr="00501ECF" w:rsidRDefault="00AE5A25" w:rsidP="00AE5A25">
      <w:pPr>
        <w:spacing w:before="120" w:after="0" w:line="240" w:lineRule="auto"/>
        <w:jc w:val="both"/>
        <w:rPr>
          <w:rFonts w:cs="Courier New"/>
          <w:sz w:val="24"/>
          <w:szCs w:val="24"/>
          <w:lang w:eastAsia="es-ES"/>
        </w:rPr>
      </w:pPr>
      <w:r w:rsidRPr="00501ECF">
        <w:rPr>
          <w:rFonts w:cs="Courier New"/>
          <w:sz w:val="24"/>
          <w:szCs w:val="24"/>
          <w:lang w:eastAsia="es-ES"/>
        </w:rPr>
        <w:tab/>
      </w:r>
      <w:r w:rsidRPr="00501ECF">
        <w:rPr>
          <w:rFonts w:cs="Courier New"/>
          <w:sz w:val="24"/>
          <w:szCs w:val="24"/>
          <w:lang w:eastAsia="es-ES"/>
        </w:rPr>
        <w:tab/>
        <w:t>82. Pendentes rochosas con vexetación casmofítica</w:t>
      </w:r>
    </w:p>
    <w:p w14:paraId="1D1CD2E4" w14:textId="77777777" w:rsidR="00AE5A25" w:rsidRPr="00501ECF" w:rsidRDefault="00AE5A25" w:rsidP="00AE5A25">
      <w:pPr>
        <w:spacing w:after="0" w:line="240" w:lineRule="auto"/>
        <w:jc w:val="both"/>
        <w:rPr>
          <w:rFonts w:cs="Courier New"/>
          <w:sz w:val="24"/>
          <w:szCs w:val="24"/>
          <w:lang w:eastAsia="es-ES"/>
        </w:rPr>
      </w:pPr>
      <w:r w:rsidRPr="00501ECF">
        <w:rPr>
          <w:rFonts w:cs="Courier New"/>
          <w:sz w:val="24"/>
          <w:szCs w:val="24"/>
          <w:lang w:eastAsia="es-ES"/>
        </w:rPr>
        <w:tab/>
      </w:r>
      <w:r w:rsidRPr="00501ECF">
        <w:rPr>
          <w:rFonts w:cs="Courier New"/>
          <w:sz w:val="24"/>
          <w:szCs w:val="24"/>
          <w:lang w:eastAsia="es-ES"/>
        </w:rPr>
        <w:tab/>
      </w:r>
      <w:r w:rsidRPr="00501ECF">
        <w:rPr>
          <w:rFonts w:cs="Courier New"/>
          <w:sz w:val="24"/>
          <w:szCs w:val="24"/>
          <w:lang w:eastAsia="es-ES"/>
        </w:rPr>
        <w:tab/>
        <w:t>8220 Vexetación cosmofítica de pendentes rochosas</w:t>
      </w:r>
    </w:p>
    <w:p w14:paraId="75D32D9F" w14:textId="77777777" w:rsidR="00AE5A25" w:rsidRPr="00501ECF" w:rsidRDefault="00AE5A25" w:rsidP="00AE5A25">
      <w:pPr>
        <w:spacing w:after="0" w:line="240" w:lineRule="auto"/>
        <w:ind w:left="2699" w:hanging="539"/>
        <w:jc w:val="both"/>
        <w:rPr>
          <w:rFonts w:cs="Courier New"/>
          <w:i/>
          <w:sz w:val="24"/>
          <w:szCs w:val="24"/>
          <w:lang w:eastAsia="es-ES"/>
        </w:rPr>
      </w:pPr>
      <w:r w:rsidRPr="00501ECF">
        <w:rPr>
          <w:rFonts w:cs="Courier New"/>
          <w:sz w:val="24"/>
          <w:szCs w:val="24"/>
          <w:lang w:eastAsia="es-ES"/>
        </w:rPr>
        <w:t xml:space="preserve">8230 Rochedos silíceos con vegetación pioneira de </w:t>
      </w:r>
      <w:r w:rsidRPr="00501ECF">
        <w:rPr>
          <w:rFonts w:cs="Courier New"/>
          <w:i/>
          <w:sz w:val="24"/>
          <w:szCs w:val="24"/>
          <w:lang w:eastAsia="es-ES"/>
        </w:rPr>
        <w:t>Sedo-Sclerantion</w:t>
      </w:r>
      <w:r w:rsidRPr="00501ECF">
        <w:rPr>
          <w:rFonts w:cs="Courier New"/>
          <w:sz w:val="24"/>
          <w:szCs w:val="24"/>
          <w:lang w:eastAsia="es-ES"/>
        </w:rPr>
        <w:t xml:space="preserve"> ou </w:t>
      </w:r>
      <w:r w:rsidRPr="00501ECF">
        <w:rPr>
          <w:rFonts w:cs="Courier New"/>
          <w:i/>
          <w:sz w:val="24"/>
          <w:szCs w:val="24"/>
          <w:lang w:eastAsia="es-ES"/>
        </w:rPr>
        <w:t>Sedo albi</w:t>
      </w:r>
      <w:r w:rsidRPr="00501ECF">
        <w:rPr>
          <w:rFonts w:cs="Courier New"/>
          <w:sz w:val="24"/>
          <w:szCs w:val="24"/>
          <w:lang w:eastAsia="es-ES"/>
        </w:rPr>
        <w:t xml:space="preserve">, </w:t>
      </w:r>
      <w:r w:rsidRPr="00501ECF">
        <w:rPr>
          <w:rFonts w:cs="Courier New"/>
          <w:i/>
          <w:sz w:val="24"/>
          <w:szCs w:val="24"/>
          <w:lang w:eastAsia="es-ES"/>
        </w:rPr>
        <w:t>Veronicion dellinii</w:t>
      </w:r>
    </w:p>
    <w:p w14:paraId="418A20D3" w14:textId="77777777" w:rsidR="00AE5A25" w:rsidRPr="00501ECF" w:rsidRDefault="00AE5A25" w:rsidP="00AE5A25">
      <w:pPr>
        <w:spacing w:before="120" w:after="0" w:line="240" w:lineRule="auto"/>
        <w:ind w:left="900" w:hanging="180"/>
        <w:jc w:val="both"/>
        <w:rPr>
          <w:rFonts w:cs="Courier New"/>
          <w:sz w:val="24"/>
          <w:szCs w:val="24"/>
          <w:lang w:eastAsia="es-ES"/>
        </w:rPr>
      </w:pPr>
      <w:r w:rsidRPr="00501ECF">
        <w:rPr>
          <w:rFonts w:cs="Courier New"/>
          <w:sz w:val="24"/>
          <w:szCs w:val="24"/>
          <w:lang w:eastAsia="es-ES"/>
        </w:rPr>
        <w:t>9 Bosques (sub)naturais de especies autóctonas, en monte alto con sotobosque típico, que responde a un dos seguintes criterios: raros ou residuais, e/ou que albergan especies de interese comunitario</w:t>
      </w:r>
    </w:p>
    <w:p w14:paraId="6B1A266D" w14:textId="77777777" w:rsidR="00AE5A25" w:rsidRPr="00501ECF" w:rsidRDefault="00AE5A25" w:rsidP="00AE5A25">
      <w:pPr>
        <w:spacing w:after="0" w:line="240" w:lineRule="auto"/>
        <w:ind w:left="902" w:firstLine="539"/>
        <w:jc w:val="both"/>
        <w:rPr>
          <w:rFonts w:cs="Courier New"/>
          <w:sz w:val="24"/>
          <w:szCs w:val="24"/>
          <w:lang w:eastAsia="es-ES"/>
        </w:rPr>
      </w:pPr>
      <w:r w:rsidRPr="00501ECF">
        <w:rPr>
          <w:rFonts w:cs="Courier New"/>
          <w:sz w:val="24"/>
          <w:szCs w:val="24"/>
          <w:lang w:eastAsia="es-ES"/>
        </w:rPr>
        <w:t>91 Bosques da Europa temperada</w:t>
      </w:r>
    </w:p>
    <w:p w14:paraId="65411364" w14:textId="77777777" w:rsidR="00AE5A25" w:rsidRPr="00501ECF" w:rsidRDefault="00AE5A25" w:rsidP="00AE5A25">
      <w:pPr>
        <w:spacing w:after="0" w:line="240" w:lineRule="auto"/>
        <w:ind w:left="2700" w:hanging="540"/>
        <w:jc w:val="both"/>
        <w:rPr>
          <w:rFonts w:cs="Courier New"/>
          <w:sz w:val="24"/>
          <w:szCs w:val="24"/>
          <w:lang w:eastAsia="es-ES"/>
        </w:rPr>
      </w:pPr>
      <w:r w:rsidRPr="00501ECF">
        <w:rPr>
          <w:rFonts w:cs="Courier New"/>
          <w:sz w:val="24"/>
          <w:szCs w:val="24"/>
          <w:lang w:eastAsia="es-ES"/>
        </w:rPr>
        <w:t xml:space="preserve">91E0 *Bosques aluviais de </w:t>
      </w:r>
      <w:r w:rsidRPr="00501ECF">
        <w:rPr>
          <w:rFonts w:cs="Courier New"/>
          <w:i/>
          <w:sz w:val="24"/>
          <w:szCs w:val="24"/>
          <w:lang w:eastAsia="es-ES"/>
        </w:rPr>
        <w:t>Alnus glutinosa</w:t>
      </w:r>
      <w:r w:rsidRPr="00501ECF">
        <w:rPr>
          <w:rFonts w:cs="Courier New"/>
          <w:sz w:val="24"/>
          <w:szCs w:val="24"/>
          <w:lang w:eastAsia="es-ES"/>
        </w:rPr>
        <w:t xml:space="preserve"> (amieiros) e </w:t>
      </w:r>
      <w:r w:rsidRPr="00501ECF">
        <w:rPr>
          <w:rFonts w:cs="Courier New"/>
          <w:i/>
          <w:sz w:val="24"/>
          <w:szCs w:val="24"/>
          <w:lang w:eastAsia="es-ES"/>
        </w:rPr>
        <w:t>Fraxinus excelsior</w:t>
      </w:r>
      <w:r w:rsidRPr="00501ECF">
        <w:rPr>
          <w:rFonts w:cs="Courier New"/>
          <w:sz w:val="24"/>
          <w:szCs w:val="24"/>
          <w:lang w:eastAsia="es-ES"/>
        </w:rPr>
        <w:t xml:space="preserve"> (freixos) (</w:t>
      </w:r>
      <w:r w:rsidRPr="00501ECF">
        <w:rPr>
          <w:rFonts w:cs="Courier New"/>
          <w:i/>
          <w:sz w:val="24"/>
          <w:szCs w:val="24"/>
          <w:lang w:eastAsia="es-ES"/>
        </w:rPr>
        <w:t>Alno-Podion, Alnion incanae, Salicion albae</w:t>
      </w:r>
      <w:r w:rsidRPr="00501ECF">
        <w:rPr>
          <w:rFonts w:cs="Courier New"/>
          <w:sz w:val="24"/>
          <w:szCs w:val="24"/>
          <w:lang w:eastAsia="es-ES"/>
        </w:rPr>
        <w:t>)</w:t>
      </w:r>
    </w:p>
    <w:p w14:paraId="0C91BD78" w14:textId="77777777" w:rsidR="00AE5A25" w:rsidRPr="00501ECF" w:rsidRDefault="00AE5A25" w:rsidP="00AE5A25">
      <w:pPr>
        <w:pBdr>
          <w:top w:val="single" w:sz="4" w:space="1" w:color="auto"/>
          <w:left w:val="single" w:sz="4" w:space="4" w:color="auto"/>
          <w:bottom w:val="single" w:sz="4" w:space="1" w:color="auto"/>
          <w:right w:val="single" w:sz="4" w:space="4" w:color="auto"/>
        </w:pBdr>
        <w:spacing w:before="120" w:after="0" w:line="240" w:lineRule="auto"/>
        <w:ind w:left="709"/>
        <w:jc w:val="both"/>
        <w:rPr>
          <w:sz w:val="24"/>
          <w:szCs w:val="24"/>
        </w:rPr>
      </w:pPr>
      <w:r w:rsidRPr="00501ECF">
        <w:rPr>
          <w:sz w:val="24"/>
          <w:szCs w:val="24"/>
        </w:rPr>
        <w:t>A deficiente avaliación de efectos sinérxicos e acumulativos non ten en consideración a dimensión cuantitativa nin cualitativa dos efectos sobre estes hábitats.</w:t>
      </w:r>
    </w:p>
    <w:p w14:paraId="4E1E6BC6" w14:textId="77777777" w:rsidR="00AE5A25" w:rsidRPr="00501ECF" w:rsidRDefault="00AE5A25" w:rsidP="00AE5A25">
      <w:pPr>
        <w:pBdr>
          <w:top w:val="single" w:sz="4" w:space="1" w:color="auto"/>
          <w:left w:val="single" w:sz="4" w:space="4" w:color="auto"/>
          <w:bottom w:val="single" w:sz="4" w:space="1" w:color="auto"/>
          <w:right w:val="single" w:sz="4" w:space="4" w:color="auto"/>
        </w:pBdr>
        <w:spacing w:before="120" w:after="0" w:line="240" w:lineRule="auto"/>
        <w:ind w:left="709"/>
        <w:jc w:val="both"/>
        <w:rPr>
          <w:sz w:val="24"/>
          <w:szCs w:val="24"/>
        </w:rPr>
      </w:pPr>
      <w:r w:rsidRPr="00501ECF">
        <w:rPr>
          <w:sz w:val="24"/>
          <w:szCs w:val="24"/>
        </w:rPr>
        <w:t xml:space="preserve">A construcción dos PEs que figuran no Rexistro Eólico de Galicia en toda a Serra da Groba e Argalo (Albariño I, Rosal, Merendón, Torroña I e </w:t>
      </w:r>
      <w:r>
        <w:rPr>
          <w:sz w:val="24"/>
          <w:szCs w:val="24"/>
        </w:rPr>
        <w:t>Torroña I</w:t>
      </w:r>
      <w:r w:rsidRPr="00501ECF">
        <w:rPr>
          <w:sz w:val="24"/>
          <w:szCs w:val="24"/>
        </w:rPr>
        <w:t xml:space="preserve">) </w:t>
      </w:r>
      <w:r>
        <w:rPr>
          <w:sz w:val="24"/>
          <w:szCs w:val="24"/>
        </w:rPr>
        <w:t xml:space="preserve">e a central hidroeléctrica reversible de auga mariña en Punta Centinela </w:t>
      </w:r>
      <w:r w:rsidRPr="00501ECF">
        <w:rPr>
          <w:sz w:val="24"/>
          <w:szCs w:val="24"/>
        </w:rPr>
        <w:t xml:space="preserve">farán imposible a declaración futura dos hábitats de interés comunitario afectados, dentro da rede de espazos de Rede Natura 2000 de Galicia e o impacto sobre os hábitats e especies de interés comunitario será </w:t>
      </w:r>
      <w:r w:rsidRPr="00501ECF">
        <w:rPr>
          <w:b/>
          <w:bCs/>
          <w:sz w:val="24"/>
          <w:szCs w:val="24"/>
        </w:rPr>
        <w:t>MOI SEVERO</w:t>
      </w:r>
      <w:r w:rsidRPr="00501ECF">
        <w:rPr>
          <w:sz w:val="24"/>
          <w:szCs w:val="24"/>
        </w:rPr>
        <w:t>.</w:t>
      </w:r>
    </w:p>
    <w:p w14:paraId="00197A34" w14:textId="77777777" w:rsidR="00AE5A25" w:rsidRPr="003D6D89" w:rsidRDefault="00AE5A25" w:rsidP="00AE5A25">
      <w:pPr>
        <w:pStyle w:val="Ttulo2"/>
        <w:ind w:left="426"/>
        <w:rPr>
          <w:rFonts w:ascii="Calibri" w:hAnsi="Calibri" w:cs="Calibri"/>
          <w:color w:val="000000"/>
          <w:sz w:val="24"/>
          <w:szCs w:val="24"/>
        </w:rPr>
      </w:pPr>
      <w:bookmarkStart w:id="436" w:name="_Hlk87742760"/>
      <w:bookmarkStart w:id="437" w:name="_Toc88004932"/>
      <w:bookmarkStart w:id="438" w:name="_Toc132511028"/>
      <w:bookmarkStart w:id="439" w:name="_Hlk87742704"/>
      <w:r w:rsidRPr="003D6D89">
        <w:rPr>
          <w:rFonts w:ascii="Calibri" w:hAnsi="Calibri" w:cs="Calibri"/>
          <w:color w:val="000000"/>
          <w:sz w:val="24"/>
          <w:szCs w:val="24"/>
        </w:rPr>
        <w:t>4</w:t>
      </w:r>
      <w:r>
        <w:rPr>
          <w:rFonts w:ascii="Calibri" w:hAnsi="Calibri" w:cs="Calibri"/>
          <w:color w:val="000000"/>
          <w:sz w:val="24"/>
          <w:szCs w:val="24"/>
        </w:rPr>
        <w:t>3</w:t>
      </w:r>
      <w:r w:rsidRPr="003D6D89">
        <w:rPr>
          <w:rFonts w:ascii="Calibri" w:hAnsi="Calibri" w:cs="Calibri"/>
          <w:color w:val="000000"/>
          <w:sz w:val="24"/>
          <w:szCs w:val="24"/>
        </w:rPr>
        <w:t>.2.- Sobre os efectos sinérxicos e acumulativos á conectividade</w:t>
      </w:r>
      <w:bookmarkEnd w:id="436"/>
      <w:r w:rsidRPr="003D6D89">
        <w:rPr>
          <w:rFonts w:ascii="Calibri" w:hAnsi="Calibri" w:cs="Calibri"/>
          <w:color w:val="000000"/>
          <w:sz w:val="24"/>
          <w:szCs w:val="24"/>
        </w:rPr>
        <w:t xml:space="preserve"> funcional</w:t>
      </w:r>
      <w:bookmarkEnd w:id="437"/>
      <w:bookmarkEnd w:id="438"/>
    </w:p>
    <w:bookmarkEnd w:id="439"/>
    <w:p w14:paraId="6C71C640" w14:textId="77777777" w:rsidR="00AE5A25" w:rsidRPr="00501ECF" w:rsidRDefault="00AE5A25" w:rsidP="00AE5A25">
      <w:pPr>
        <w:autoSpaceDE w:val="0"/>
        <w:autoSpaceDN w:val="0"/>
        <w:adjustRightInd w:val="0"/>
        <w:spacing w:after="0" w:line="240" w:lineRule="auto"/>
        <w:ind w:left="709" w:right="566"/>
        <w:jc w:val="both"/>
        <w:rPr>
          <w:iCs/>
          <w:sz w:val="24"/>
          <w:szCs w:val="24"/>
          <w:lang w:eastAsia="es-ES"/>
        </w:rPr>
      </w:pPr>
      <w:r w:rsidRPr="00501ECF">
        <w:rPr>
          <w:iCs/>
          <w:sz w:val="24"/>
          <w:szCs w:val="24"/>
          <w:lang w:eastAsia="es-ES"/>
        </w:rPr>
        <w:t>O artigo 10 da Directiva de hábitats da Unión Europea establece que: “Cando o consideren necesario os Estados membros, no marco das súas políticas nacionais de ordenación do territorio e de desenvolvemento e, especialmente, para melloraren a coherencia ecolóxica da rede Natura 2000, esforzaranse por fomentar a xestión dos elementos da paisaxe que revistan primordial importancia para a fauna e a flora silvestres. Trátase daqueles elementos que, pola súa estrutura lineal e continua (como os ríos coas súas correspondentes ribeiras ou os sistemas tradicionais de deslinde dos campos), ou polo seu papel de puntos de enlace (como os estanques e soutos) resultan esenciais para a migración a distribución xeográfica e o intercambio xenético das especies silvestres”.</w:t>
      </w:r>
    </w:p>
    <w:p w14:paraId="63CF6947" w14:textId="77777777" w:rsidR="00AE5A25" w:rsidRPr="00501ECF" w:rsidRDefault="00AE5A25" w:rsidP="00AE5A25">
      <w:pPr>
        <w:autoSpaceDE w:val="0"/>
        <w:autoSpaceDN w:val="0"/>
        <w:adjustRightInd w:val="0"/>
        <w:spacing w:before="120" w:after="0" w:line="240" w:lineRule="auto"/>
        <w:ind w:left="709" w:right="567"/>
        <w:jc w:val="both"/>
        <w:rPr>
          <w:iCs/>
          <w:sz w:val="24"/>
          <w:szCs w:val="24"/>
          <w:lang w:eastAsia="es-ES"/>
        </w:rPr>
      </w:pPr>
      <w:r w:rsidRPr="00501ECF">
        <w:rPr>
          <w:iCs/>
          <w:sz w:val="24"/>
          <w:szCs w:val="24"/>
          <w:lang w:eastAsia="es-ES"/>
        </w:rPr>
        <w:lastRenderedPageBreak/>
        <w:t>Hoxe en día, pódese afirmar sen risco a equivocarse que a conectividade constitúe a base ineludible para unha xestión territorial sostible, capaz de protexer as funcións vitais do patrimonio natural e, porque non, cultural. A literatura científica coincide no diagnóstico. A fragmentación e perda de conectividade funcional é unha das principais causas da perda de biodiversidade.</w:t>
      </w:r>
    </w:p>
    <w:p w14:paraId="2706C327" w14:textId="77777777" w:rsidR="00AE5A25" w:rsidRPr="00501ECF" w:rsidRDefault="00AE5A25" w:rsidP="00AE5A25">
      <w:pPr>
        <w:autoSpaceDE w:val="0"/>
        <w:autoSpaceDN w:val="0"/>
        <w:adjustRightInd w:val="0"/>
        <w:spacing w:before="120" w:after="0" w:line="240" w:lineRule="auto"/>
        <w:ind w:left="709" w:right="567"/>
        <w:jc w:val="both"/>
        <w:rPr>
          <w:iCs/>
          <w:sz w:val="24"/>
          <w:szCs w:val="24"/>
          <w:lang w:eastAsia="es-ES"/>
        </w:rPr>
      </w:pPr>
      <w:r w:rsidRPr="00501ECF">
        <w:rPr>
          <w:iCs/>
          <w:sz w:val="24"/>
          <w:szCs w:val="24"/>
          <w:lang w:eastAsia="es-ES"/>
        </w:rPr>
        <w:t>A conectividade funcional entre os hábitats non só se establece sobre a superficie do terreo senon que a conectividade tamén depende da ausencia de estruturas físicas que rompan a continuidade do espacio aéreo para o caso da comunidade de organismos voadores (avifauna, quiropterofauna, insectos…). A ruptura desta conectividade funcional, polo tanto, non só require da avalición dos efectos dos viais sobre a fragmentación do territorio senon que tamén é necesario analizar o efecto barreira que o conxunto dos parques eólicos xenera no espazo aéreo dificultando a mobilidade das especies voadoras. Esta circunstancia é especialmente importante para a comunidade de especies migratorias e para aquelas especies que empreguen un amplo territorio de distribución.</w:t>
      </w:r>
    </w:p>
    <w:p w14:paraId="49797A65" w14:textId="77777777" w:rsidR="00AE5A25" w:rsidRPr="00501ECF" w:rsidRDefault="00AE5A25" w:rsidP="00AE5A25">
      <w:pPr>
        <w:autoSpaceDE w:val="0"/>
        <w:autoSpaceDN w:val="0"/>
        <w:adjustRightInd w:val="0"/>
        <w:spacing w:before="120" w:after="0" w:line="240" w:lineRule="auto"/>
        <w:ind w:left="709" w:right="567"/>
        <w:jc w:val="both"/>
        <w:rPr>
          <w:iCs/>
          <w:sz w:val="24"/>
          <w:szCs w:val="24"/>
          <w:lang w:eastAsia="es-ES"/>
        </w:rPr>
      </w:pPr>
      <w:r w:rsidRPr="00501ECF">
        <w:rPr>
          <w:iCs/>
          <w:sz w:val="24"/>
          <w:szCs w:val="24"/>
          <w:lang w:eastAsia="es-ES"/>
        </w:rPr>
        <w:t>O propio Proxecto Sectorial afirma “</w:t>
      </w:r>
      <w:r w:rsidRPr="00501ECF">
        <w:rPr>
          <w:rFonts w:cs="Calibri"/>
          <w:i/>
          <w:iCs/>
          <w:sz w:val="24"/>
          <w:szCs w:val="24"/>
          <w:lang w:eastAsia="es-ES"/>
        </w:rPr>
        <w:t>El área de implantación del parque eólico es una zona rústica, que abarca un territorio marcado por una clara conectividad territorial, tanto en uso como en características naturales, paisaje, etc</w:t>
      </w:r>
      <w:r w:rsidRPr="00501ECF">
        <w:rPr>
          <w:rFonts w:cs="Calibri"/>
          <w:sz w:val="24"/>
          <w:szCs w:val="24"/>
          <w:lang w:eastAsia="es-ES"/>
        </w:rPr>
        <w:t>.”</w:t>
      </w:r>
    </w:p>
    <w:p w14:paraId="54595C9E" w14:textId="77777777" w:rsidR="00AE5A25" w:rsidRPr="00501ECF" w:rsidRDefault="00AE5A25" w:rsidP="00AE5A25">
      <w:pPr>
        <w:pBdr>
          <w:top w:val="single" w:sz="4" w:space="1" w:color="auto"/>
          <w:left w:val="single" w:sz="4" w:space="4" w:color="auto"/>
          <w:bottom w:val="single" w:sz="4" w:space="1" w:color="auto"/>
          <w:right w:val="single" w:sz="4" w:space="4" w:color="auto"/>
        </w:pBdr>
        <w:autoSpaceDE w:val="0"/>
        <w:autoSpaceDN w:val="0"/>
        <w:adjustRightInd w:val="0"/>
        <w:spacing w:before="120" w:after="0" w:line="240" w:lineRule="auto"/>
        <w:ind w:left="709" w:right="567"/>
        <w:jc w:val="both"/>
        <w:rPr>
          <w:iCs/>
          <w:sz w:val="24"/>
          <w:szCs w:val="24"/>
          <w:lang w:eastAsia="es-ES"/>
        </w:rPr>
      </w:pPr>
      <w:r w:rsidRPr="00501ECF">
        <w:rPr>
          <w:iCs/>
          <w:sz w:val="24"/>
          <w:szCs w:val="24"/>
          <w:lang w:eastAsia="es-ES"/>
        </w:rPr>
        <w:t xml:space="preserve">A deficiente avaliación dos efectos sinérxicos e acumulativos dos PEs na Serra da Groba e Argalo repercutirá negativa e irreversiblemente na capacidade de conectividade funcional do territorio nunha área xeográfica clave que conecta os diferentes espazos de Rede Natura da contorna. Os efectos sobre a conectividade funcional serán </w:t>
      </w:r>
      <w:r w:rsidRPr="00501ECF">
        <w:rPr>
          <w:b/>
          <w:bCs/>
          <w:iCs/>
          <w:sz w:val="24"/>
          <w:szCs w:val="24"/>
          <w:lang w:eastAsia="es-ES"/>
        </w:rPr>
        <w:t>MOI SEVEROS</w:t>
      </w:r>
      <w:r w:rsidRPr="00501ECF">
        <w:rPr>
          <w:iCs/>
          <w:sz w:val="24"/>
          <w:szCs w:val="24"/>
          <w:lang w:eastAsia="es-ES"/>
        </w:rPr>
        <w:t>.</w:t>
      </w:r>
    </w:p>
    <w:p w14:paraId="0342F0C5" w14:textId="77777777" w:rsidR="00AE5A25" w:rsidRPr="003D6D89" w:rsidRDefault="00AE5A25" w:rsidP="00AE5A25">
      <w:pPr>
        <w:pStyle w:val="Ttulo2"/>
        <w:ind w:left="426"/>
        <w:rPr>
          <w:rFonts w:ascii="Calibri" w:hAnsi="Calibri" w:cs="Calibri"/>
          <w:color w:val="000000"/>
          <w:sz w:val="24"/>
          <w:szCs w:val="24"/>
        </w:rPr>
      </w:pPr>
      <w:bookmarkStart w:id="440" w:name="_Hlk87742788"/>
      <w:bookmarkStart w:id="441" w:name="_Toc88004933"/>
      <w:bookmarkStart w:id="442" w:name="_Toc132511029"/>
      <w:r w:rsidRPr="003D6D89">
        <w:rPr>
          <w:rFonts w:ascii="Calibri" w:hAnsi="Calibri" w:cs="Calibri"/>
          <w:color w:val="000000"/>
          <w:sz w:val="24"/>
          <w:szCs w:val="24"/>
        </w:rPr>
        <w:t>4</w:t>
      </w:r>
      <w:r>
        <w:rPr>
          <w:rFonts w:ascii="Calibri" w:hAnsi="Calibri" w:cs="Calibri"/>
          <w:color w:val="000000"/>
          <w:sz w:val="24"/>
          <w:szCs w:val="24"/>
        </w:rPr>
        <w:t>3</w:t>
      </w:r>
      <w:r w:rsidRPr="003D6D89">
        <w:rPr>
          <w:rFonts w:ascii="Calibri" w:hAnsi="Calibri" w:cs="Calibri"/>
          <w:color w:val="000000"/>
          <w:sz w:val="24"/>
          <w:szCs w:val="24"/>
        </w:rPr>
        <w:t>.3.- Sobre os efectos sinérxicos e acumulativos aos humedais</w:t>
      </w:r>
      <w:bookmarkEnd w:id="440"/>
      <w:r w:rsidRPr="003D6D89">
        <w:rPr>
          <w:rFonts w:ascii="Calibri" w:hAnsi="Calibri" w:cs="Calibri"/>
          <w:color w:val="000000"/>
          <w:sz w:val="24"/>
          <w:szCs w:val="24"/>
        </w:rPr>
        <w:t>.</w:t>
      </w:r>
      <w:bookmarkEnd w:id="441"/>
      <w:bookmarkEnd w:id="442"/>
    </w:p>
    <w:p w14:paraId="3A1B611A" w14:textId="77777777" w:rsidR="00AE5A25" w:rsidRPr="00501ECF" w:rsidRDefault="00AE5A25" w:rsidP="00AE5A25">
      <w:pPr>
        <w:pStyle w:val="Textosinformato"/>
        <w:spacing w:before="120" w:after="120"/>
        <w:ind w:left="709"/>
        <w:jc w:val="both"/>
        <w:rPr>
          <w:rFonts w:ascii="Calibri" w:hAnsi="Calibri"/>
          <w:sz w:val="24"/>
          <w:szCs w:val="24"/>
        </w:rPr>
      </w:pPr>
      <w:r w:rsidRPr="00501ECF">
        <w:rPr>
          <w:rFonts w:ascii="Calibri" w:hAnsi="Calibri"/>
          <w:sz w:val="24"/>
          <w:szCs w:val="24"/>
        </w:rPr>
        <w:t xml:space="preserve">Ó abeiro do </w:t>
      </w:r>
      <w:r w:rsidRPr="00501ECF">
        <w:rPr>
          <w:rFonts w:ascii="Calibri" w:hAnsi="Calibri"/>
          <w:i/>
          <w:sz w:val="24"/>
          <w:szCs w:val="24"/>
        </w:rPr>
        <w:t>DECRETO 127/2008, de 5 de xuño, polo que se desenvolve o réxime xurídico dos humedais protexidos e se crea o Inventario de humedais de Galicia</w:t>
      </w:r>
      <w:r w:rsidRPr="00501ECF">
        <w:rPr>
          <w:rFonts w:ascii="Calibri" w:hAnsi="Calibri"/>
          <w:sz w:val="24"/>
          <w:szCs w:val="24"/>
        </w:rPr>
        <w:t xml:space="preserve"> (DOG do 25 de xuño de 2008), elaborouse unha proposta de humedais en relación á proposta de Rede Natura 2000 de Galicia. Nesta proposta recolléronse unha serie de humedais na Serra da Groba.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8"/>
        <w:gridCol w:w="2267"/>
        <w:gridCol w:w="3905"/>
      </w:tblGrid>
      <w:tr w:rsidR="00AE5A25" w:rsidRPr="00501ECF" w14:paraId="46B04D00" w14:textId="77777777" w:rsidTr="00AE5A25">
        <w:trPr>
          <w:jc w:val="center"/>
        </w:trPr>
        <w:tc>
          <w:tcPr>
            <w:tcW w:w="1068" w:type="dxa"/>
          </w:tcPr>
          <w:p w14:paraId="4768EA61"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Código</w:t>
            </w:r>
          </w:p>
        </w:tc>
        <w:tc>
          <w:tcPr>
            <w:tcW w:w="2267" w:type="dxa"/>
          </w:tcPr>
          <w:p w14:paraId="1EF4641B"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Nome</w:t>
            </w:r>
          </w:p>
        </w:tc>
        <w:tc>
          <w:tcPr>
            <w:tcW w:w="3905" w:type="dxa"/>
          </w:tcPr>
          <w:p w14:paraId="20B1239F"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Coord. UTM</w:t>
            </w:r>
          </w:p>
        </w:tc>
      </w:tr>
      <w:tr w:rsidR="00AE5A25" w:rsidRPr="00501ECF" w14:paraId="77276543" w14:textId="77777777" w:rsidTr="00AE5A25">
        <w:trPr>
          <w:jc w:val="center"/>
        </w:trPr>
        <w:tc>
          <w:tcPr>
            <w:tcW w:w="1068" w:type="dxa"/>
          </w:tcPr>
          <w:p w14:paraId="7486C25A"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1140027</w:t>
            </w:r>
          </w:p>
        </w:tc>
        <w:tc>
          <w:tcPr>
            <w:tcW w:w="2267" w:type="dxa"/>
          </w:tcPr>
          <w:p w14:paraId="70DAF03A"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Os Marcos</w:t>
            </w:r>
          </w:p>
        </w:tc>
        <w:tc>
          <w:tcPr>
            <w:tcW w:w="3905" w:type="dxa"/>
          </w:tcPr>
          <w:p w14:paraId="1A3ED2BD"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29TNG109582</w:t>
            </w:r>
          </w:p>
        </w:tc>
      </w:tr>
      <w:tr w:rsidR="00AE5A25" w:rsidRPr="00501ECF" w14:paraId="63B80E54" w14:textId="77777777" w:rsidTr="00AE5A25">
        <w:trPr>
          <w:jc w:val="center"/>
        </w:trPr>
        <w:tc>
          <w:tcPr>
            <w:tcW w:w="1068" w:type="dxa"/>
          </w:tcPr>
          <w:p w14:paraId="3D64BBEB"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1140026</w:t>
            </w:r>
          </w:p>
        </w:tc>
        <w:tc>
          <w:tcPr>
            <w:tcW w:w="2267" w:type="dxa"/>
          </w:tcPr>
          <w:p w14:paraId="5C89F485"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Curro de Mougás</w:t>
            </w:r>
          </w:p>
        </w:tc>
        <w:tc>
          <w:tcPr>
            <w:tcW w:w="3905" w:type="dxa"/>
          </w:tcPr>
          <w:p w14:paraId="33767D77"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29TNG104580</w:t>
            </w:r>
          </w:p>
        </w:tc>
      </w:tr>
      <w:tr w:rsidR="00AE5A25" w:rsidRPr="00501ECF" w14:paraId="78E1D56C" w14:textId="77777777" w:rsidTr="00AE5A25">
        <w:trPr>
          <w:jc w:val="center"/>
        </w:trPr>
        <w:tc>
          <w:tcPr>
            <w:tcW w:w="1068" w:type="dxa"/>
          </w:tcPr>
          <w:p w14:paraId="270A8D06"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1140214</w:t>
            </w:r>
          </w:p>
        </w:tc>
        <w:tc>
          <w:tcPr>
            <w:tcW w:w="2267" w:type="dxa"/>
          </w:tcPr>
          <w:p w14:paraId="5AD0F738"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Curro de Mougás- 1</w:t>
            </w:r>
          </w:p>
        </w:tc>
        <w:tc>
          <w:tcPr>
            <w:tcW w:w="3905" w:type="dxa"/>
          </w:tcPr>
          <w:p w14:paraId="1DA90998"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29TNG105580</w:t>
            </w:r>
          </w:p>
        </w:tc>
      </w:tr>
      <w:tr w:rsidR="00AE5A25" w:rsidRPr="00501ECF" w14:paraId="26366607" w14:textId="77777777" w:rsidTr="00AE5A25">
        <w:trPr>
          <w:jc w:val="center"/>
        </w:trPr>
        <w:tc>
          <w:tcPr>
            <w:tcW w:w="1068" w:type="dxa"/>
          </w:tcPr>
          <w:p w14:paraId="0AC57BD6"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1140215</w:t>
            </w:r>
          </w:p>
        </w:tc>
        <w:tc>
          <w:tcPr>
            <w:tcW w:w="2267" w:type="dxa"/>
          </w:tcPr>
          <w:p w14:paraId="552C6DEC"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Curro de Mougás- 2</w:t>
            </w:r>
          </w:p>
        </w:tc>
        <w:tc>
          <w:tcPr>
            <w:tcW w:w="3905" w:type="dxa"/>
          </w:tcPr>
          <w:p w14:paraId="2481E4E2"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29TNG111577</w:t>
            </w:r>
          </w:p>
        </w:tc>
      </w:tr>
      <w:tr w:rsidR="00AE5A25" w:rsidRPr="00501ECF" w14:paraId="39E0D4BE" w14:textId="77777777" w:rsidTr="00AE5A25">
        <w:trPr>
          <w:jc w:val="center"/>
        </w:trPr>
        <w:tc>
          <w:tcPr>
            <w:tcW w:w="1068" w:type="dxa"/>
          </w:tcPr>
          <w:p w14:paraId="0FF4EFAA"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1140219</w:t>
            </w:r>
          </w:p>
        </w:tc>
        <w:tc>
          <w:tcPr>
            <w:tcW w:w="2267" w:type="dxa"/>
          </w:tcPr>
          <w:p w14:paraId="429B0D6C"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Brañas da Groba</w:t>
            </w:r>
          </w:p>
        </w:tc>
        <w:tc>
          <w:tcPr>
            <w:tcW w:w="3905" w:type="dxa"/>
          </w:tcPr>
          <w:p w14:paraId="515EB8B5"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29TNG131574</w:t>
            </w:r>
          </w:p>
        </w:tc>
      </w:tr>
      <w:tr w:rsidR="00AE5A25" w:rsidRPr="00501ECF" w14:paraId="2A96F4CB" w14:textId="77777777" w:rsidTr="00AE5A25">
        <w:trPr>
          <w:jc w:val="center"/>
        </w:trPr>
        <w:tc>
          <w:tcPr>
            <w:tcW w:w="1068" w:type="dxa"/>
          </w:tcPr>
          <w:p w14:paraId="014E4077"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1140217</w:t>
            </w:r>
          </w:p>
        </w:tc>
        <w:tc>
          <w:tcPr>
            <w:tcW w:w="2267" w:type="dxa"/>
          </w:tcPr>
          <w:p w14:paraId="320BB4A0"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Rego de Mougás</w:t>
            </w:r>
          </w:p>
        </w:tc>
        <w:tc>
          <w:tcPr>
            <w:tcW w:w="3905" w:type="dxa"/>
          </w:tcPr>
          <w:p w14:paraId="061D3C17"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29TNG132557</w:t>
            </w:r>
          </w:p>
        </w:tc>
      </w:tr>
      <w:tr w:rsidR="00AE5A25" w:rsidRPr="00501ECF" w14:paraId="43CC3BBC" w14:textId="77777777" w:rsidTr="00AE5A25">
        <w:trPr>
          <w:jc w:val="center"/>
        </w:trPr>
        <w:tc>
          <w:tcPr>
            <w:tcW w:w="1068" w:type="dxa"/>
          </w:tcPr>
          <w:p w14:paraId="7C39D4F0"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1140030</w:t>
            </w:r>
          </w:p>
        </w:tc>
        <w:tc>
          <w:tcPr>
            <w:tcW w:w="2267" w:type="dxa"/>
          </w:tcPr>
          <w:p w14:paraId="51AB04CB"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Cruz de Pau</w:t>
            </w:r>
          </w:p>
        </w:tc>
        <w:tc>
          <w:tcPr>
            <w:tcW w:w="3905" w:type="dxa"/>
          </w:tcPr>
          <w:p w14:paraId="28E3BCBC"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29TNG135546</w:t>
            </w:r>
          </w:p>
        </w:tc>
      </w:tr>
      <w:tr w:rsidR="00AE5A25" w:rsidRPr="00501ECF" w14:paraId="0F33E6F2" w14:textId="77777777" w:rsidTr="00AE5A25">
        <w:trPr>
          <w:jc w:val="center"/>
        </w:trPr>
        <w:tc>
          <w:tcPr>
            <w:tcW w:w="1068" w:type="dxa"/>
          </w:tcPr>
          <w:p w14:paraId="0D1C610F"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1140216</w:t>
            </w:r>
          </w:p>
        </w:tc>
        <w:tc>
          <w:tcPr>
            <w:tcW w:w="2267" w:type="dxa"/>
          </w:tcPr>
          <w:p w14:paraId="14C4340D"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A Cruz de Pau</w:t>
            </w:r>
          </w:p>
        </w:tc>
        <w:tc>
          <w:tcPr>
            <w:tcW w:w="3905" w:type="dxa"/>
          </w:tcPr>
          <w:p w14:paraId="460D81A8"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29TNG137543</w:t>
            </w:r>
          </w:p>
        </w:tc>
      </w:tr>
      <w:tr w:rsidR="00AE5A25" w:rsidRPr="00501ECF" w14:paraId="4D828EE2" w14:textId="77777777" w:rsidTr="00AE5A25">
        <w:trPr>
          <w:jc w:val="center"/>
        </w:trPr>
        <w:tc>
          <w:tcPr>
            <w:tcW w:w="1068" w:type="dxa"/>
          </w:tcPr>
          <w:p w14:paraId="552F8E61"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1140218</w:t>
            </w:r>
          </w:p>
        </w:tc>
        <w:tc>
          <w:tcPr>
            <w:tcW w:w="2267" w:type="dxa"/>
          </w:tcPr>
          <w:p w14:paraId="1C760F7C"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Torroña</w:t>
            </w:r>
          </w:p>
        </w:tc>
        <w:tc>
          <w:tcPr>
            <w:tcW w:w="3905" w:type="dxa"/>
          </w:tcPr>
          <w:p w14:paraId="783CBF44"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29TNG129525</w:t>
            </w:r>
          </w:p>
        </w:tc>
      </w:tr>
      <w:tr w:rsidR="00AE5A25" w:rsidRPr="00501ECF" w14:paraId="66590961" w14:textId="77777777" w:rsidTr="00AE5A25">
        <w:trPr>
          <w:jc w:val="center"/>
        </w:trPr>
        <w:tc>
          <w:tcPr>
            <w:tcW w:w="1068" w:type="dxa"/>
          </w:tcPr>
          <w:p w14:paraId="24B0659F"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1140028</w:t>
            </w:r>
          </w:p>
        </w:tc>
        <w:tc>
          <w:tcPr>
            <w:tcW w:w="2267" w:type="dxa"/>
          </w:tcPr>
          <w:p w14:paraId="1E373F5C"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Torroña</w:t>
            </w:r>
          </w:p>
        </w:tc>
        <w:tc>
          <w:tcPr>
            <w:tcW w:w="3905" w:type="dxa"/>
          </w:tcPr>
          <w:p w14:paraId="4886618C"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29TNG129527 Complejo húmedo del estuario del Miño</w:t>
            </w:r>
          </w:p>
        </w:tc>
      </w:tr>
      <w:tr w:rsidR="00AE5A25" w:rsidRPr="00501ECF" w14:paraId="7D4D7056" w14:textId="77777777" w:rsidTr="00AE5A25">
        <w:trPr>
          <w:jc w:val="center"/>
        </w:trPr>
        <w:tc>
          <w:tcPr>
            <w:tcW w:w="1068" w:type="dxa"/>
          </w:tcPr>
          <w:p w14:paraId="00C9C00F"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1140224</w:t>
            </w:r>
          </w:p>
        </w:tc>
        <w:tc>
          <w:tcPr>
            <w:tcW w:w="2267" w:type="dxa"/>
          </w:tcPr>
          <w:p w14:paraId="56D9AF8D"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As Fontiñas</w:t>
            </w:r>
          </w:p>
        </w:tc>
        <w:tc>
          <w:tcPr>
            <w:tcW w:w="3905" w:type="dxa"/>
          </w:tcPr>
          <w:p w14:paraId="7830A596"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29TNG129492</w:t>
            </w:r>
          </w:p>
        </w:tc>
      </w:tr>
      <w:tr w:rsidR="00AE5A25" w:rsidRPr="00501ECF" w14:paraId="1EA4BBFE" w14:textId="77777777" w:rsidTr="00AE5A25">
        <w:trPr>
          <w:jc w:val="center"/>
        </w:trPr>
        <w:tc>
          <w:tcPr>
            <w:tcW w:w="1068" w:type="dxa"/>
          </w:tcPr>
          <w:p w14:paraId="1EDB9565"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1140029</w:t>
            </w:r>
          </w:p>
        </w:tc>
        <w:tc>
          <w:tcPr>
            <w:tcW w:w="2267" w:type="dxa"/>
          </w:tcPr>
          <w:p w14:paraId="68FF0ACC" w14:textId="77777777" w:rsidR="00AE5A25" w:rsidRPr="00501ECF" w:rsidRDefault="00AE5A25" w:rsidP="00AE5A25">
            <w:pPr>
              <w:spacing w:after="0" w:line="240" w:lineRule="auto"/>
              <w:jc w:val="both"/>
              <w:rPr>
                <w:rFonts w:cs="Arial Narrow"/>
                <w:sz w:val="24"/>
                <w:szCs w:val="24"/>
                <w:lang w:eastAsia="es-ES"/>
              </w:rPr>
            </w:pPr>
            <w:r w:rsidRPr="00501ECF">
              <w:rPr>
                <w:rFonts w:cs="Arial Narrow"/>
                <w:sz w:val="24"/>
                <w:szCs w:val="24"/>
                <w:lang w:eastAsia="es-ES"/>
              </w:rPr>
              <w:t>A Portela</w:t>
            </w:r>
          </w:p>
        </w:tc>
        <w:tc>
          <w:tcPr>
            <w:tcW w:w="3905" w:type="dxa"/>
          </w:tcPr>
          <w:p w14:paraId="1B4E1C6A" w14:textId="77777777" w:rsidR="00AE5A25" w:rsidRPr="00501ECF" w:rsidRDefault="00AE5A25" w:rsidP="00AE5A25">
            <w:pPr>
              <w:spacing w:after="0" w:line="240" w:lineRule="auto"/>
              <w:jc w:val="both"/>
              <w:rPr>
                <w:rFonts w:cs="Courier New"/>
                <w:sz w:val="24"/>
                <w:szCs w:val="24"/>
                <w:lang w:eastAsia="es-ES"/>
              </w:rPr>
            </w:pPr>
            <w:r w:rsidRPr="00501ECF">
              <w:rPr>
                <w:rFonts w:cs="Arial Narrow"/>
                <w:sz w:val="24"/>
                <w:szCs w:val="24"/>
                <w:lang w:eastAsia="es-ES"/>
              </w:rPr>
              <w:t xml:space="preserve">29TNG128488 Complejo húmedo del </w:t>
            </w:r>
            <w:r w:rsidRPr="00501ECF">
              <w:rPr>
                <w:rFonts w:cs="Arial Narrow"/>
                <w:sz w:val="24"/>
                <w:szCs w:val="24"/>
                <w:lang w:eastAsia="es-ES"/>
              </w:rPr>
              <w:lastRenderedPageBreak/>
              <w:t>estuario del Miño</w:t>
            </w:r>
          </w:p>
        </w:tc>
      </w:tr>
    </w:tbl>
    <w:p w14:paraId="30CCBC91" w14:textId="77777777" w:rsidR="00AE5A25" w:rsidRPr="00501ECF" w:rsidRDefault="00AE5A25" w:rsidP="00AE5A25">
      <w:pPr>
        <w:ind w:left="709"/>
        <w:rPr>
          <w:bCs/>
          <w:sz w:val="24"/>
          <w:szCs w:val="24"/>
        </w:rPr>
      </w:pPr>
    </w:p>
    <w:p w14:paraId="396AD07B" w14:textId="77777777" w:rsidR="00AE5A25" w:rsidRPr="00501ECF" w:rsidRDefault="00AE5A25" w:rsidP="00AE5A25">
      <w:pPr>
        <w:pBdr>
          <w:top w:val="single" w:sz="4" w:space="1" w:color="auto"/>
          <w:left w:val="single" w:sz="4" w:space="4" w:color="auto"/>
          <w:bottom w:val="single" w:sz="4" w:space="1" w:color="auto"/>
          <w:right w:val="single" w:sz="4" w:space="4" w:color="auto"/>
        </w:pBdr>
        <w:ind w:left="709"/>
        <w:jc w:val="both"/>
        <w:rPr>
          <w:bCs/>
          <w:sz w:val="24"/>
          <w:szCs w:val="24"/>
        </w:rPr>
      </w:pPr>
      <w:r w:rsidRPr="00501ECF">
        <w:rPr>
          <w:bCs/>
          <w:sz w:val="24"/>
          <w:szCs w:val="24"/>
        </w:rPr>
        <w:t xml:space="preserve">Estes humedais sufrirán un efecto </w:t>
      </w:r>
      <w:r w:rsidRPr="00501ECF">
        <w:rPr>
          <w:b/>
          <w:sz w:val="24"/>
          <w:szCs w:val="24"/>
        </w:rPr>
        <w:t>MOI SEVERO</w:t>
      </w:r>
      <w:r w:rsidRPr="00501ECF">
        <w:rPr>
          <w:bCs/>
          <w:sz w:val="24"/>
          <w:szCs w:val="24"/>
        </w:rPr>
        <w:t xml:space="preserve"> tanto na fase de construcción dos parques eólicos, como nas fases de explotación e desmantelamento. Non se avalían convintemente os efectos sinérxicos e acumulativos sobre estes elementos.</w:t>
      </w:r>
    </w:p>
    <w:p w14:paraId="51CCD54D" w14:textId="77777777" w:rsidR="00AE5A25" w:rsidRPr="003D6D89" w:rsidRDefault="00AE5A25" w:rsidP="00AE5A25">
      <w:pPr>
        <w:pStyle w:val="Ttulo2"/>
        <w:tabs>
          <w:tab w:val="left" w:pos="0"/>
        </w:tabs>
        <w:ind w:left="426"/>
        <w:rPr>
          <w:rFonts w:ascii="Calibri" w:hAnsi="Calibri" w:cs="Calibri"/>
          <w:color w:val="000000"/>
          <w:sz w:val="24"/>
          <w:szCs w:val="24"/>
        </w:rPr>
      </w:pPr>
      <w:bookmarkStart w:id="443" w:name="_Hlk87742803"/>
      <w:bookmarkStart w:id="444" w:name="_Toc88004934"/>
      <w:bookmarkStart w:id="445" w:name="_Toc132511030"/>
      <w:r w:rsidRPr="003D6D89">
        <w:rPr>
          <w:rFonts w:ascii="Calibri" w:hAnsi="Calibri" w:cs="Calibri"/>
          <w:color w:val="000000"/>
          <w:sz w:val="24"/>
          <w:szCs w:val="24"/>
        </w:rPr>
        <w:t>4</w:t>
      </w:r>
      <w:r>
        <w:rPr>
          <w:rFonts w:ascii="Calibri" w:hAnsi="Calibri" w:cs="Calibri"/>
          <w:color w:val="000000"/>
          <w:sz w:val="24"/>
          <w:szCs w:val="24"/>
        </w:rPr>
        <w:t>3</w:t>
      </w:r>
      <w:r w:rsidRPr="003D6D89">
        <w:rPr>
          <w:rFonts w:ascii="Calibri" w:hAnsi="Calibri" w:cs="Calibri"/>
          <w:color w:val="000000"/>
          <w:sz w:val="24"/>
          <w:szCs w:val="24"/>
        </w:rPr>
        <w:t>.4.- Sobre os efectos sinérxicos e acumulativos ás Areas Especiais de Interés Paisaxístico (AEIP</w:t>
      </w:r>
      <w:bookmarkEnd w:id="443"/>
      <w:r w:rsidRPr="003D6D89">
        <w:rPr>
          <w:rFonts w:ascii="Calibri" w:hAnsi="Calibri" w:cs="Calibri"/>
          <w:color w:val="000000"/>
          <w:sz w:val="24"/>
          <w:szCs w:val="24"/>
        </w:rPr>
        <w:t>)</w:t>
      </w:r>
      <w:bookmarkEnd w:id="444"/>
      <w:bookmarkEnd w:id="445"/>
    </w:p>
    <w:p w14:paraId="3A1FC3EA" w14:textId="77777777" w:rsidR="00AE5A25" w:rsidRPr="00501ECF" w:rsidRDefault="00AE5A25" w:rsidP="00AE5A25">
      <w:pPr>
        <w:spacing w:before="120" w:after="0" w:line="240" w:lineRule="auto"/>
        <w:ind w:left="709"/>
        <w:jc w:val="both"/>
        <w:rPr>
          <w:rFonts w:cs="Courier New"/>
          <w:sz w:val="24"/>
          <w:szCs w:val="24"/>
          <w:lang w:eastAsia="es-ES"/>
        </w:rPr>
      </w:pPr>
      <w:r w:rsidRPr="00501ECF">
        <w:rPr>
          <w:rFonts w:cs="Courier New"/>
          <w:b/>
          <w:bCs/>
          <w:sz w:val="24"/>
          <w:szCs w:val="24"/>
          <w:lang w:eastAsia="es-ES"/>
        </w:rPr>
        <w:t>a) Catálogo das Paisaxes de Galicia</w:t>
      </w:r>
      <w:r w:rsidRPr="00501ECF">
        <w:rPr>
          <w:rFonts w:cs="Courier New"/>
          <w:sz w:val="24"/>
          <w:szCs w:val="24"/>
          <w:lang w:eastAsia="es-ES"/>
        </w:rPr>
        <w:t xml:space="preserve"> (</w:t>
      </w:r>
      <w:r w:rsidRPr="00501ECF">
        <w:rPr>
          <w:i/>
          <w:sz w:val="24"/>
          <w:szCs w:val="24"/>
        </w:rPr>
        <w:t>Decreto 119/2019 de 28 de xullo, polo que se aproba o Catálogo das Paisaxes de Galicia)</w:t>
      </w:r>
    </w:p>
    <w:p w14:paraId="6FABB2C9" w14:textId="77777777" w:rsidR="00AE5A25" w:rsidRPr="00501ECF" w:rsidRDefault="00AE5A25" w:rsidP="00AE5A25">
      <w:pPr>
        <w:spacing w:before="120" w:after="0" w:line="240" w:lineRule="auto"/>
        <w:ind w:left="709"/>
        <w:jc w:val="both"/>
        <w:rPr>
          <w:rFonts w:cs="Courier New"/>
          <w:sz w:val="24"/>
          <w:szCs w:val="24"/>
          <w:lang w:eastAsia="es-ES"/>
        </w:rPr>
      </w:pPr>
      <w:r w:rsidRPr="00501ECF">
        <w:rPr>
          <w:rFonts w:cs="Courier New"/>
          <w:sz w:val="24"/>
          <w:szCs w:val="24"/>
          <w:lang w:eastAsia="es-ES"/>
        </w:rPr>
        <w:t>Según consta na memoria do documento do Catálogo das Paisaxes de Galicia, na parte II, Grandes Áreas Paisaxísticas (GAP): VI, Costa Sur-Baixo Miño, na pax. 15 VI.4.1 Valores Naturais e Ecolóxicos recóllese o seguinte:</w:t>
      </w:r>
    </w:p>
    <w:p w14:paraId="28F6AD80" w14:textId="77777777" w:rsidR="00AE5A25" w:rsidRPr="00D43D91" w:rsidRDefault="00AE5A25" w:rsidP="00AE5A25">
      <w:pPr>
        <w:spacing w:after="0" w:line="240" w:lineRule="auto"/>
        <w:ind w:left="1440" w:right="1286"/>
        <w:jc w:val="both"/>
        <w:rPr>
          <w:rFonts w:cs="Courier New"/>
          <w:lang w:eastAsia="es-ES"/>
        </w:rPr>
      </w:pPr>
      <w:r w:rsidRPr="00D43D91">
        <w:rPr>
          <w:rFonts w:cs="Courier New"/>
          <w:lang w:eastAsia="es-ES"/>
        </w:rPr>
        <w:t>“</w:t>
      </w:r>
      <w:r w:rsidRPr="00D43D91">
        <w:rPr>
          <w:rFonts w:cs="Courier New"/>
          <w:i/>
          <w:lang w:eastAsia="es-ES"/>
        </w:rPr>
        <w:t>son recoñecibles diversos ecosistemas naturais (esteiros, marismas, dunas, ríos, herbais húmidos, turbeiras, bosques naturais e seminaturais) que configuran reservorios de elevado valor para a conservación da biodiversidade</w:t>
      </w:r>
      <w:r w:rsidRPr="00D43D91">
        <w:rPr>
          <w:rFonts w:cs="Courier New"/>
          <w:lang w:eastAsia="es-ES"/>
        </w:rPr>
        <w:t>.”</w:t>
      </w:r>
    </w:p>
    <w:p w14:paraId="1A6AD14F" w14:textId="77777777" w:rsidR="00AE5A25" w:rsidRPr="00501ECF" w:rsidRDefault="00AE5A25" w:rsidP="00AE5A25">
      <w:pPr>
        <w:spacing w:before="120" w:after="0" w:line="240" w:lineRule="auto"/>
        <w:ind w:left="709"/>
        <w:jc w:val="both"/>
        <w:rPr>
          <w:rFonts w:cs="Courier New"/>
          <w:sz w:val="24"/>
          <w:szCs w:val="24"/>
          <w:lang w:eastAsia="es-ES"/>
        </w:rPr>
      </w:pPr>
      <w:r w:rsidRPr="00501ECF">
        <w:rPr>
          <w:rFonts w:cs="Courier New"/>
          <w:sz w:val="24"/>
          <w:szCs w:val="24"/>
          <w:lang w:eastAsia="es-ES"/>
        </w:rPr>
        <w:t>Destácanse ademáis hábitats de interés comunitario, algún deles considerado prioritario e especies de interés comunitario.</w:t>
      </w:r>
    </w:p>
    <w:p w14:paraId="0EEC73F5" w14:textId="77777777" w:rsidR="00AE5A25" w:rsidRPr="00D43D91" w:rsidRDefault="00AE5A25" w:rsidP="00AE5A25">
      <w:pPr>
        <w:spacing w:before="120" w:after="0" w:line="240" w:lineRule="auto"/>
        <w:ind w:left="1440" w:right="1286"/>
        <w:jc w:val="both"/>
        <w:rPr>
          <w:rFonts w:cs="Courier New"/>
          <w:i/>
          <w:lang w:eastAsia="es-ES"/>
        </w:rPr>
      </w:pPr>
      <w:r w:rsidRPr="00D43D91">
        <w:rPr>
          <w:rFonts w:cs="Courier New"/>
          <w:i/>
          <w:lang w:eastAsia="es-ES"/>
        </w:rPr>
        <w:t>“Os petróglifos son unha das singularidades da paisaxe da provincia de Pontevedra e están declarados Monumentos Histórico-Artísticos polo Decreto 3741/1974 de 20 de decembro.”</w:t>
      </w:r>
    </w:p>
    <w:p w14:paraId="20293095" w14:textId="77777777" w:rsidR="00AE5A25" w:rsidRPr="00501ECF" w:rsidRDefault="00AE5A25" w:rsidP="00AE5A25">
      <w:pPr>
        <w:spacing w:before="120" w:after="0" w:line="240" w:lineRule="auto"/>
        <w:ind w:left="709"/>
        <w:jc w:val="both"/>
        <w:rPr>
          <w:rFonts w:cs="Courier New"/>
          <w:sz w:val="24"/>
          <w:szCs w:val="24"/>
          <w:lang w:eastAsia="es-ES"/>
        </w:rPr>
      </w:pPr>
      <w:r w:rsidRPr="00501ECF">
        <w:rPr>
          <w:rFonts w:cs="Courier New"/>
          <w:sz w:val="24"/>
          <w:szCs w:val="24"/>
          <w:lang w:eastAsia="es-ES"/>
        </w:rPr>
        <w:t>No punto VI.4.3 sobre os Valores Estéticos e Panorámicos destácase que:</w:t>
      </w:r>
    </w:p>
    <w:p w14:paraId="67398EE8" w14:textId="77777777" w:rsidR="00AE5A25" w:rsidRPr="00D43D91" w:rsidRDefault="00AE5A25" w:rsidP="00AE5A25">
      <w:pPr>
        <w:spacing w:before="120" w:after="0" w:line="240" w:lineRule="auto"/>
        <w:ind w:left="1440" w:right="1286"/>
        <w:jc w:val="both"/>
        <w:rPr>
          <w:rFonts w:cs="Courier New"/>
          <w:i/>
          <w:lang w:eastAsia="es-ES"/>
        </w:rPr>
      </w:pPr>
      <w:r w:rsidRPr="00D43D91">
        <w:rPr>
          <w:rFonts w:cs="Courier New"/>
          <w:i/>
          <w:lang w:eastAsia="es-ES"/>
        </w:rPr>
        <w:t>“A variedade formal dentro da GAP e os elementos de auga confírenlle moitas singularidades estéticas, entre as que poden destacarse:</w:t>
      </w:r>
    </w:p>
    <w:p w14:paraId="262C3EC3" w14:textId="77777777" w:rsidR="00AE5A25" w:rsidRPr="00D43D91" w:rsidRDefault="00AE5A25" w:rsidP="00AE5A25">
      <w:pPr>
        <w:spacing w:before="120" w:after="0" w:line="240" w:lineRule="auto"/>
        <w:ind w:left="1440" w:right="1286"/>
        <w:jc w:val="both"/>
        <w:rPr>
          <w:rFonts w:cs="Courier New"/>
          <w:i/>
          <w:lang w:eastAsia="es-ES"/>
        </w:rPr>
      </w:pPr>
      <w:r w:rsidRPr="00D43D91">
        <w:rPr>
          <w:rFonts w:cs="Courier New"/>
          <w:i/>
          <w:lang w:eastAsia="es-ES"/>
        </w:rPr>
        <w:t xml:space="preserve">-A cornixa topográfica lineal dos montes de Oia e a Serra da Groba, que configuran un tipo de costa único en Galicia. </w:t>
      </w:r>
    </w:p>
    <w:p w14:paraId="0A708893" w14:textId="77777777" w:rsidR="00AE5A25" w:rsidRPr="00D43D91" w:rsidRDefault="00AE5A25" w:rsidP="00AE5A25">
      <w:pPr>
        <w:spacing w:before="120" w:after="0" w:line="240" w:lineRule="auto"/>
        <w:ind w:left="1440" w:right="1286"/>
        <w:jc w:val="both"/>
        <w:rPr>
          <w:rFonts w:cs="Courier New"/>
          <w:i/>
          <w:lang w:eastAsia="es-ES"/>
        </w:rPr>
      </w:pPr>
      <w:r w:rsidRPr="00D43D91">
        <w:rPr>
          <w:rFonts w:cs="Courier New"/>
          <w:i/>
          <w:lang w:eastAsia="es-ES"/>
        </w:rPr>
        <w:t>- Os afloramentos e xeoformas graníticas singulares nas serras.”</w:t>
      </w:r>
    </w:p>
    <w:p w14:paraId="1A3418B1" w14:textId="77777777" w:rsidR="00AE5A25" w:rsidRPr="00D43D91" w:rsidRDefault="00AE5A25" w:rsidP="00AE5A25">
      <w:pPr>
        <w:spacing w:after="0" w:line="240" w:lineRule="auto"/>
        <w:jc w:val="center"/>
        <w:rPr>
          <w:rFonts w:cs="Courier New"/>
          <w:lang w:eastAsia="es-ES"/>
        </w:rPr>
      </w:pPr>
    </w:p>
    <w:p w14:paraId="5BA3F4FF" w14:textId="77777777" w:rsidR="00AE5A25" w:rsidRPr="00D43D91" w:rsidRDefault="00AE5A25" w:rsidP="00AE5A25">
      <w:pPr>
        <w:autoSpaceDE w:val="0"/>
        <w:autoSpaceDN w:val="0"/>
        <w:adjustRightInd w:val="0"/>
        <w:spacing w:after="0" w:line="240" w:lineRule="auto"/>
        <w:ind w:left="1418" w:right="1275"/>
        <w:jc w:val="both"/>
        <w:rPr>
          <w:i/>
          <w:lang w:eastAsia="es-ES"/>
        </w:rPr>
      </w:pPr>
      <w:r w:rsidRPr="00D43D91">
        <w:rPr>
          <w:i/>
          <w:lang w:eastAsia="es-ES"/>
        </w:rPr>
        <w:t>“Unha vez identificadas as AEIP (Áreas Especiais de Interés Paisaxístico) candidatas, procedeuse a delimitalas seguindo os criterios descritos no apartado 2.7.3.2.1 da memoria. Durante esta etapa algunhas áreas foron descartadas ben por coincidir en zonas ocupadas maioritariamente por edificacións, ben por non atoparse coherencia ou conexión territorial entre o conxunto de LEIP (Lugares Especiais de Interés Paisaxístico) que deron orixe á área. As AEIP resultantes deste proceso, unha vez seleccionadas e revisadas polo equipo técnico e o Panel de Expertos, son 18 e ocupan un total de 11.765 ha (ver Figura 18 e as correspondentes fichas do anexo de AEIP). A estas áreas hai que engadir os 3 espazos de interese paisaxístico delimitados no POL, que supoñen unha superficie de 576 ha (ver Figura 18 e as correspondentes fichas do anexo de EIP). Finalmente, o número total de AEIP incluídas total ou parcialmente en Costa Sur - Baixo Miño é de 21, abarcando un total de 12.341 ha.”</w:t>
      </w:r>
    </w:p>
    <w:p w14:paraId="3BFACB68" w14:textId="77777777" w:rsidR="00AE5A25" w:rsidRPr="00501ECF" w:rsidRDefault="00AE5A25" w:rsidP="00AE5A25">
      <w:pPr>
        <w:autoSpaceDE w:val="0"/>
        <w:autoSpaceDN w:val="0"/>
        <w:adjustRightInd w:val="0"/>
        <w:spacing w:after="0" w:line="240" w:lineRule="auto"/>
        <w:ind w:left="709"/>
        <w:jc w:val="both"/>
        <w:rPr>
          <w:sz w:val="24"/>
          <w:szCs w:val="24"/>
          <w:lang w:eastAsia="es-ES"/>
        </w:rPr>
      </w:pPr>
      <w:r w:rsidRPr="00501ECF">
        <w:rPr>
          <w:sz w:val="24"/>
          <w:szCs w:val="24"/>
          <w:lang w:eastAsia="es-ES"/>
        </w:rPr>
        <w:t>Vi.8. Diagnose</w:t>
      </w:r>
    </w:p>
    <w:p w14:paraId="1F5A166C" w14:textId="77777777" w:rsidR="00AE5A25" w:rsidRPr="00D43D91" w:rsidRDefault="00AE5A25" w:rsidP="00AE5A25">
      <w:pPr>
        <w:spacing w:before="120" w:after="0" w:line="240" w:lineRule="auto"/>
        <w:ind w:left="1440" w:right="1286"/>
        <w:jc w:val="both"/>
        <w:rPr>
          <w:rFonts w:cs="Courier New"/>
          <w:i/>
          <w:lang w:eastAsia="es-ES"/>
        </w:rPr>
      </w:pPr>
      <w:r w:rsidRPr="00D43D91">
        <w:rPr>
          <w:rFonts w:cs="Courier New"/>
          <w:i/>
          <w:lang w:eastAsia="es-ES"/>
        </w:rPr>
        <w:lastRenderedPageBreak/>
        <w:t>“Mención aparte merecen os polígonos e áreas industriais, distinguindo entre os polígonos planificados e as áreas de asentamento industrial improvisadas. Os primeiros xorden dende mediados do século XX e presentan un tramado viario xerarquizado e ordenado. O asentamento improvisado de naves e construcións industriais e comerciais fíxose sen unha orde previa, polo que tanto o modo de asentamento como a imaxe final das edificacións, peches e outros elementos constitúe con frecuencia un impacto paisaxístico.</w:t>
      </w:r>
    </w:p>
    <w:p w14:paraId="5E1AE534" w14:textId="77777777" w:rsidR="00AE5A25" w:rsidRPr="00D43D91" w:rsidRDefault="00AE5A25" w:rsidP="00AE5A25">
      <w:pPr>
        <w:spacing w:before="120" w:after="0" w:line="240" w:lineRule="auto"/>
        <w:ind w:left="1440" w:right="1286"/>
        <w:jc w:val="both"/>
        <w:rPr>
          <w:rFonts w:cs="Courier New"/>
          <w:i/>
          <w:lang w:eastAsia="es-ES"/>
        </w:rPr>
      </w:pPr>
      <w:r w:rsidRPr="00D43D91">
        <w:rPr>
          <w:rFonts w:cs="Courier New"/>
          <w:i/>
          <w:lang w:eastAsia="es-ES"/>
        </w:rPr>
        <w:t>Ademais das repercusións na paisaxe, esta dinámica presenta un importante impacto territorial e ambiental. Neste caso destacan, á parte da urbanización diseminada nas zonas periurbanas dos centros comarcais e ao longo das vías de comunicación, novas infraestruturas con gran impacto territorial como son as destinadas ao transporte (Nogués Linares e Salas Olmedo, 2008). O impacto dos custes desta dinámica foron obxecto de certos estudos que asocian á dispersión un incremento dos custes (Prada Blanco, 2008), existindo evidencias claras disto no contexto español (Hortas Rico e Solé Ollé, 2010). A consecuencia destas infraestruturas non é só un cambio de uso irreversible, senón tamén o impacto inmediato cara todo o terreo adxacente rompendo, en moitos casos, a lóxica da conectividade paisaxística (Serrano et al., 2002). Nesta área, que forma parte do denominado Eixo Atlántico, dáse un elevado grao de concentración de diferentes tipos vías de comunicación, tendo moitas delas, como as autoestradas ou as liñas de tren, importantes efectos, xa que non só transforman senón que tamén estruturan a paisaxe.”</w:t>
      </w:r>
    </w:p>
    <w:p w14:paraId="48D7F007" w14:textId="77777777" w:rsidR="00AE5A25" w:rsidRPr="00D43D91" w:rsidRDefault="00AE5A25" w:rsidP="00AE5A25">
      <w:pPr>
        <w:spacing w:before="120" w:after="0" w:line="240" w:lineRule="auto"/>
        <w:ind w:left="1440" w:right="1286"/>
        <w:jc w:val="both"/>
        <w:rPr>
          <w:rFonts w:cs="Courier New"/>
          <w:i/>
          <w:lang w:eastAsia="es-ES"/>
        </w:rPr>
      </w:pPr>
      <w:r w:rsidRPr="00D43D91">
        <w:rPr>
          <w:rFonts w:cs="Courier New"/>
          <w:i/>
          <w:lang w:eastAsia="es-ES"/>
        </w:rPr>
        <w:t>“O litoral de Oia, O Rosal e A Guarda pasa por ser un dos máis singulares de Galicia, debido á súa disposición rectilínea pouco frecuente na costa galega e ao dominio dos cantís. A isto cabe engadir a falta de protección ante ventos e a amplitude de vistas cara ao mar aberto, o que condiciona a nosa percepción do espazo. A presenza de montes litorais que en casos superan os 500 m na mesma franxa costeira ofrece numerosos miradoiros naturais. A Serra da Groba actúa como linde norte de parte desta GAP, posuíndo uns valores estéticos únicos na súa contorna, ligados ás texturas do monte baixo, mato e rochedos, que unidas á gandería extensiva practicada nas partes altas, converte a este espazo en singular.”</w:t>
      </w:r>
    </w:p>
    <w:p w14:paraId="1F202B37" w14:textId="77777777" w:rsidR="00AE5A25" w:rsidRPr="00501ECF" w:rsidRDefault="00AE5A25" w:rsidP="00AE5A25">
      <w:pPr>
        <w:pBdr>
          <w:top w:val="single" w:sz="4" w:space="1" w:color="auto"/>
          <w:left w:val="single" w:sz="4" w:space="4" w:color="auto"/>
          <w:bottom w:val="single" w:sz="4" w:space="1" w:color="auto"/>
          <w:right w:val="single" w:sz="4" w:space="4" w:color="auto"/>
        </w:pBdr>
        <w:autoSpaceDE w:val="0"/>
        <w:autoSpaceDN w:val="0"/>
        <w:adjustRightInd w:val="0"/>
        <w:spacing w:before="120" w:after="0" w:line="240" w:lineRule="auto"/>
        <w:ind w:left="709"/>
        <w:jc w:val="both"/>
        <w:rPr>
          <w:sz w:val="24"/>
          <w:szCs w:val="24"/>
          <w:shd w:val="clear" w:color="auto" w:fill="FFFFFF"/>
          <w:lang w:eastAsia="es-ES"/>
        </w:rPr>
      </w:pPr>
      <w:r w:rsidRPr="00501ECF">
        <w:rPr>
          <w:sz w:val="24"/>
          <w:szCs w:val="24"/>
          <w:shd w:val="clear" w:color="auto" w:fill="FFFFFF"/>
          <w:lang w:eastAsia="es-ES"/>
        </w:rPr>
        <w:t xml:space="preserve">Os aeroxeradores de grandes dimensións son elementos estranos nunha paisaxe natural, por conseguinte, a instalación dos parques eólicos suporá unha degradación da calidade estética do escenario paisaxístico con efectos </w:t>
      </w:r>
      <w:r w:rsidRPr="00501ECF">
        <w:rPr>
          <w:b/>
          <w:bCs/>
          <w:sz w:val="24"/>
          <w:szCs w:val="24"/>
          <w:shd w:val="clear" w:color="auto" w:fill="FFFFFF"/>
          <w:lang w:eastAsia="es-ES"/>
        </w:rPr>
        <w:t>MOI SEVEROS</w:t>
      </w:r>
      <w:r w:rsidRPr="00501ECF">
        <w:rPr>
          <w:sz w:val="24"/>
          <w:szCs w:val="24"/>
          <w:shd w:val="clear" w:color="auto" w:fill="FFFFFF"/>
          <w:lang w:eastAsia="es-ES"/>
        </w:rPr>
        <w:t>.</w:t>
      </w:r>
    </w:p>
    <w:p w14:paraId="30269B52" w14:textId="77777777" w:rsidR="00AE5A25" w:rsidRPr="00501ECF" w:rsidRDefault="00AE5A25" w:rsidP="00AE5A25">
      <w:pPr>
        <w:spacing w:before="120"/>
        <w:ind w:left="709"/>
        <w:rPr>
          <w:b/>
          <w:bCs/>
          <w:sz w:val="24"/>
          <w:szCs w:val="24"/>
        </w:rPr>
      </w:pPr>
      <w:r w:rsidRPr="00501ECF">
        <w:rPr>
          <w:b/>
          <w:bCs/>
          <w:sz w:val="24"/>
          <w:szCs w:val="24"/>
        </w:rPr>
        <w:t>b) Estratexia da Paisaxe Galega. Planificación 2017-2020</w:t>
      </w:r>
    </w:p>
    <w:p w14:paraId="5421776C" w14:textId="77777777" w:rsidR="00AE5A25" w:rsidRPr="00501ECF" w:rsidRDefault="00AE5A25" w:rsidP="00AE5A25">
      <w:pPr>
        <w:autoSpaceDE w:val="0"/>
        <w:autoSpaceDN w:val="0"/>
        <w:adjustRightInd w:val="0"/>
        <w:spacing w:before="120" w:after="0" w:line="240" w:lineRule="auto"/>
        <w:ind w:left="709"/>
        <w:jc w:val="both"/>
        <w:rPr>
          <w:sz w:val="24"/>
          <w:szCs w:val="24"/>
          <w:lang w:eastAsia="es-ES"/>
        </w:rPr>
      </w:pPr>
      <w:r w:rsidRPr="00501ECF">
        <w:rPr>
          <w:sz w:val="24"/>
          <w:szCs w:val="24"/>
          <w:lang w:eastAsia="es-ES"/>
        </w:rPr>
        <w:t>No apartado A Mellora e Potenciación dos Valores Paisaxísticos, LO04-Posta en valor dos lugares de especial interés paisaxístico, determínase:</w:t>
      </w:r>
    </w:p>
    <w:p w14:paraId="22EF53E3" w14:textId="77777777" w:rsidR="00AE5A25" w:rsidRPr="00501ECF" w:rsidRDefault="00AE5A25" w:rsidP="00AE5A25">
      <w:pPr>
        <w:autoSpaceDE w:val="0"/>
        <w:autoSpaceDN w:val="0"/>
        <w:adjustRightInd w:val="0"/>
        <w:spacing w:after="0" w:line="240" w:lineRule="auto"/>
        <w:jc w:val="both"/>
        <w:rPr>
          <w:sz w:val="24"/>
          <w:szCs w:val="24"/>
          <w:lang w:eastAsia="es-ES"/>
        </w:rPr>
      </w:pPr>
      <w:r w:rsidRPr="00501ECF">
        <w:rPr>
          <w:sz w:val="24"/>
          <w:szCs w:val="24"/>
          <w:lang w:eastAsia="es-ES"/>
        </w:rPr>
        <w:tab/>
      </w:r>
      <w:r w:rsidRPr="00501ECF">
        <w:rPr>
          <w:sz w:val="24"/>
          <w:szCs w:val="24"/>
          <w:lang w:eastAsia="es-ES"/>
        </w:rPr>
        <w:tab/>
        <w:t>1.- Creación dunha rede de itinerarios de interés paisaxístico.</w:t>
      </w:r>
    </w:p>
    <w:p w14:paraId="5271E349" w14:textId="77777777" w:rsidR="00AE5A25" w:rsidRPr="00501ECF" w:rsidRDefault="00AE5A25" w:rsidP="00AE5A25">
      <w:pPr>
        <w:autoSpaceDE w:val="0"/>
        <w:autoSpaceDN w:val="0"/>
        <w:adjustRightInd w:val="0"/>
        <w:spacing w:after="0" w:line="240" w:lineRule="auto"/>
        <w:jc w:val="both"/>
        <w:rPr>
          <w:sz w:val="24"/>
          <w:szCs w:val="24"/>
          <w:lang w:eastAsia="es-ES"/>
        </w:rPr>
      </w:pPr>
      <w:r w:rsidRPr="00501ECF">
        <w:rPr>
          <w:sz w:val="24"/>
          <w:szCs w:val="24"/>
          <w:lang w:eastAsia="es-ES"/>
        </w:rPr>
        <w:tab/>
      </w:r>
      <w:r w:rsidRPr="00501ECF">
        <w:rPr>
          <w:sz w:val="24"/>
          <w:szCs w:val="24"/>
          <w:lang w:eastAsia="es-ES"/>
        </w:rPr>
        <w:tab/>
        <w:t>2.- Posta en valor dos miradoiros de interés turístico</w:t>
      </w:r>
    </w:p>
    <w:p w14:paraId="76294DB8" w14:textId="77777777" w:rsidR="00AE5A25" w:rsidRPr="00501ECF" w:rsidRDefault="00AE5A25" w:rsidP="00AE5A25">
      <w:pPr>
        <w:pBdr>
          <w:top w:val="single" w:sz="4" w:space="1" w:color="auto"/>
          <w:left w:val="single" w:sz="4" w:space="4" w:color="auto"/>
          <w:bottom w:val="single" w:sz="4" w:space="1" w:color="auto"/>
          <w:right w:val="single" w:sz="4" w:space="4" w:color="auto"/>
        </w:pBdr>
        <w:autoSpaceDE w:val="0"/>
        <w:autoSpaceDN w:val="0"/>
        <w:adjustRightInd w:val="0"/>
        <w:spacing w:before="120" w:after="0" w:line="240" w:lineRule="auto"/>
        <w:ind w:left="709"/>
        <w:jc w:val="both"/>
        <w:rPr>
          <w:sz w:val="24"/>
          <w:szCs w:val="24"/>
          <w:lang w:eastAsia="es-ES"/>
        </w:rPr>
      </w:pPr>
      <w:r w:rsidRPr="00501ECF">
        <w:rPr>
          <w:sz w:val="24"/>
          <w:szCs w:val="24"/>
          <w:lang w:eastAsia="es-ES"/>
        </w:rPr>
        <w:t>O impacto paisaxístico dos parques eólicos na Serra da Groba contraven as determinacións da Estratexia da Paisaxe Galega 2017-2020. A degradación da paisaxe ocasionada é incompatible coa posta en valor dos miradoiros de interés turístico.</w:t>
      </w:r>
    </w:p>
    <w:p w14:paraId="299782C2" w14:textId="77777777" w:rsidR="00AE5A25" w:rsidRPr="00501ECF" w:rsidRDefault="00AE5A25" w:rsidP="00AE5A25">
      <w:pPr>
        <w:spacing w:before="120"/>
        <w:ind w:left="709"/>
        <w:rPr>
          <w:b/>
          <w:bCs/>
          <w:sz w:val="24"/>
          <w:szCs w:val="24"/>
        </w:rPr>
      </w:pPr>
      <w:r w:rsidRPr="00501ECF">
        <w:rPr>
          <w:b/>
          <w:bCs/>
          <w:sz w:val="24"/>
          <w:szCs w:val="24"/>
        </w:rPr>
        <w:t>c) Lei 7/2008, do 7 de xullo, de protección da paisaxe de Galicia</w:t>
      </w:r>
    </w:p>
    <w:p w14:paraId="34800A25" w14:textId="77777777" w:rsidR="00AE5A25" w:rsidRPr="00D43D91" w:rsidRDefault="00AE5A25" w:rsidP="00AE5A25">
      <w:pPr>
        <w:autoSpaceDE w:val="0"/>
        <w:autoSpaceDN w:val="0"/>
        <w:adjustRightInd w:val="0"/>
        <w:spacing w:before="120" w:after="0" w:line="240" w:lineRule="auto"/>
        <w:ind w:left="1701"/>
        <w:rPr>
          <w:rFonts w:cs="Bodoni-Book"/>
          <w:bCs/>
          <w:i/>
          <w:color w:val="231F20"/>
          <w:lang w:eastAsia="es-ES"/>
        </w:rPr>
      </w:pPr>
      <w:r w:rsidRPr="00D43D91">
        <w:rPr>
          <w:rFonts w:cs="Bodoni-Book"/>
          <w:bCs/>
          <w:i/>
          <w:color w:val="231F20"/>
          <w:lang w:eastAsia="es-ES"/>
        </w:rPr>
        <w:lastRenderedPageBreak/>
        <w:t>Artigo 8º.-</w:t>
      </w:r>
      <w:r w:rsidRPr="00D43D91">
        <w:rPr>
          <w:rFonts w:cs="Bodoni-BookItalic"/>
          <w:bCs/>
          <w:i/>
          <w:iCs/>
          <w:color w:val="231F20"/>
          <w:lang w:eastAsia="es-ES"/>
        </w:rPr>
        <w:t>Instrumentos</w:t>
      </w:r>
      <w:r w:rsidRPr="00D43D91">
        <w:rPr>
          <w:rFonts w:cs="Bodoni-Book"/>
          <w:bCs/>
          <w:i/>
          <w:color w:val="231F20"/>
          <w:lang w:eastAsia="es-ES"/>
        </w:rPr>
        <w:t>.</w:t>
      </w:r>
    </w:p>
    <w:p w14:paraId="2F11F3BA" w14:textId="77777777" w:rsidR="00AE5A25" w:rsidRPr="00D43D91" w:rsidRDefault="00AE5A25" w:rsidP="00AE5A25">
      <w:pPr>
        <w:spacing w:before="120" w:after="0" w:line="240" w:lineRule="auto"/>
        <w:ind w:left="1440" w:right="1286"/>
        <w:jc w:val="both"/>
        <w:rPr>
          <w:rFonts w:cs="Bodoni-Book"/>
          <w:i/>
          <w:color w:val="231F20"/>
          <w:lang w:eastAsia="es-ES"/>
        </w:rPr>
      </w:pPr>
      <w:r w:rsidRPr="00D43D91">
        <w:rPr>
          <w:rFonts w:cs="Bodoni-Book"/>
          <w:i/>
          <w:color w:val="231F20"/>
          <w:lang w:eastAsia="es-ES"/>
        </w:rPr>
        <w:t xml:space="preserve">Establécense os seguintes </w:t>
      </w:r>
      <w:r w:rsidRPr="00D43D91">
        <w:rPr>
          <w:rFonts w:cs="Courier New"/>
          <w:i/>
          <w:lang w:eastAsia="es-ES"/>
        </w:rPr>
        <w:t>instrumentos</w:t>
      </w:r>
      <w:r w:rsidRPr="00D43D91">
        <w:rPr>
          <w:rFonts w:cs="Bodoni-Book"/>
          <w:i/>
          <w:color w:val="231F20"/>
          <w:lang w:eastAsia="es-ES"/>
        </w:rPr>
        <w:t xml:space="preserve"> para o seu desenvolvemento e aplicación en canto a asegurar unha axeitada protección, xestión e ordenación das paisaxes de Galicia:</w:t>
      </w:r>
    </w:p>
    <w:p w14:paraId="5EBFE895" w14:textId="77777777" w:rsidR="00AE5A25" w:rsidRPr="00D43D91" w:rsidRDefault="00AE5A25" w:rsidP="00AE5A25">
      <w:pPr>
        <w:autoSpaceDE w:val="0"/>
        <w:autoSpaceDN w:val="0"/>
        <w:adjustRightInd w:val="0"/>
        <w:spacing w:after="0" w:line="240" w:lineRule="auto"/>
        <w:ind w:left="1701" w:right="1084"/>
        <w:rPr>
          <w:rFonts w:cs="Bodoni-Book"/>
          <w:i/>
          <w:color w:val="231F20"/>
          <w:lang w:eastAsia="es-ES"/>
        </w:rPr>
      </w:pPr>
      <w:r w:rsidRPr="00D43D91">
        <w:rPr>
          <w:rFonts w:cs="Bodoni-Book"/>
          <w:i/>
          <w:color w:val="231F20"/>
          <w:lang w:eastAsia="es-ES"/>
        </w:rPr>
        <w:t>1. Catálogos da paisaxe de Galicia.</w:t>
      </w:r>
    </w:p>
    <w:p w14:paraId="034A76F2" w14:textId="77777777" w:rsidR="00AE5A25" w:rsidRPr="00D43D91" w:rsidRDefault="00AE5A25" w:rsidP="00AE5A25">
      <w:pPr>
        <w:autoSpaceDE w:val="0"/>
        <w:autoSpaceDN w:val="0"/>
        <w:adjustRightInd w:val="0"/>
        <w:spacing w:after="0" w:line="240" w:lineRule="auto"/>
        <w:ind w:left="1701" w:right="1084"/>
        <w:rPr>
          <w:rFonts w:cs="Bodoni-Book"/>
          <w:i/>
          <w:color w:val="231F20"/>
          <w:lang w:eastAsia="es-ES"/>
        </w:rPr>
      </w:pPr>
      <w:r w:rsidRPr="00D43D91">
        <w:rPr>
          <w:rFonts w:cs="Bodoni-Book"/>
          <w:i/>
          <w:color w:val="231F20"/>
          <w:lang w:eastAsia="es-ES"/>
        </w:rPr>
        <w:t>2. Directrices de paisaxe.</w:t>
      </w:r>
    </w:p>
    <w:p w14:paraId="5AC1DB15" w14:textId="77777777" w:rsidR="00AE5A25" w:rsidRPr="00D43D91" w:rsidRDefault="00AE5A25" w:rsidP="00AE5A25">
      <w:pPr>
        <w:autoSpaceDE w:val="0"/>
        <w:autoSpaceDN w:val="0"/>
        <w:adjustRightInd w:val="0"/>
        <w:spacing w:after="0" w:line="240" w:lineRule="auto"/>
        <w:ind w:left="1701" w:right="1084"/>
        <w:rPr>
          <w:rFonts w:cs="Bodoni-Book"/>
          <w:i/>
          <w:color w:val="231F20"/>
          <w:lang w:eastAsia="es-ES"/>
        </w:rPr>
      </w:pPr>
      <w:r w:rsidRPr="00D43D91">
        <w:rPr>
          <w:rFonts w:cs="Bodoni-Book"/>
          <w:i/>
          <w:color w:val="231F20"/>
          <w:lang w:eastAsia="es-ES"/>
        </w:rPr>
        <w:t>3. Estudos de impacto e integración paisaxística.</w:t>
      </w:r>
    </w:p>
    <w:p w14:paraId="59FEA52C" w14:textId="77777777" w:rsidR="00AE5A25" w:rsidRPr="00D43D91" w:rsidRDefault="00AE5A25" w:rsidP="00AE5A25">
      <w:pPr>
        <w:autoSpaceDE w:val="0"/>
        <w:autoSpaceDN w:val="0"/>
        <w:adjustRightInd w:val="0"/>
        <w:spacing w:after="0" w:line="240" w:lineRule="auto"/>
        <w:ind w:left="1701" w:right="1084"/>
        <w:jc w:val="both"/>
        <w:rPr>
          <w:rFonts w:cs="Bodoni-Book"/>
          <w:i/>
          <w:color w:val="231F20"/>
          <w:lang w:eastAsia="es-ES"/>
        </w:rPr>
      </w:pPr>
      <w:r w:rsidRPr="00D43D91">
        <w:rPr>
          <w:rFonts w:cs="Bodoni-Book"/>
          <w:i/>
          <w:color w:val="231F20"/>
          <w:lang w:eastAsia="es-ES"/>
        </w:rPr>
        <w:t>4. Plans de acción da paisaxe en áreas protexidas.</w:t>
      </w:r>
    </w:p>
    <w:p w14:paraId="19137316" w14:textId="77777777" w:rsidR="00AE5A25" w:rsidRPr="00D43D91" w:rsidRDefault="00AE5A25" w:rsidP="00AE5A25">
      <w:pPr>
        <w:autoSpaceDE w:val="0"/>
        <w:autoSpaceDN w:val="0"/>
        <w:adjustRightInd w:val="0"/>
        <w:spacing w:after="0" w:line="240" w:lineRule="auto"/>
        <w:ind w:left="1701" w:right="1084"/>
        <w:jc w:val="both"/>
        <w:rPr>
          <w:rFonts w:cs="Bodoni-Book"/>
          <w:i/>
          <w:color w:val="231F20"/>
          <w:lang w:eastAsia="es-ES"/>
        </w:rPr>
      </w:pPr>
    </w:p>
    <w:p w14:paraId="1A32CE43" w14:textId="77777777" w:rsidR="00AE5A25" w:rsidRPr="00D43D91" w:rsidRDefault="00AE5A25" w:rsidP="00AE5A25">
      <w:pPr>
        <w:autoSpaceDE w:val="0"/>
        <w:autoSpaceDN w:val="0"/>
        <w:adjustRightInd w:val="0"/>
        <w:spacing w:before="120" w:after="0" w:line="240" w:lineRule="auto"/>
        <w:ind w:left="1701"/>
        <w:rPr>
          <w:rFonts w:cs="Bodoni-Book"/>
          <w:bCs/>
          <w:i/>
          <w:color w:val="231F20"/>
          <w:lang w:eastAsia="es-ES"/>
        </w:rPr>
      </w:pPr>
      <w:r w:rsidRPr="00D43D91">
        <w:rPr>
          <w:rFonts w:cs="Bodoni-Book"/>
          <w:bCs/>
          <w:i/>
          <w:color w:val="231F20"/>
          <w:lang w:eastAsia="es-ES"/>
        </w:rPr>
        <w:t>Artigo 11º.-Estudos de impacto e integración paisaxística.</w:t>
      </w:r>
    </w:p>
    <w:p w14:paraId="2A1FADD1" w14:textId="77777777" w:rsidR="00AE5A25" w:rsidRPr="00D43D91" w:rsidRDefault="00AE5A25" w:rsidP="00AE5A25">
      <w:pPr>
        <w:spacing w:before="120" w:after="0" w:line="240" w:lineRule="auto"/>
        <w:ind w:left="1440" w:right="1286"/>
        <w:jc w:val="both"/>
        <w:rPr>
          <w:rFonts w:cs="Bodoni-Book"/>
          <w:i/>
          <w:color w:val="231F20"/>
          <w:lang w:eastAsia="es-ES"/>
        </w:rPr>
      </w:pPr>
      <w:r w:rsidRPr="00D43D91">
        <w:rPr>
          <w:rFonts w:cs="Bodoni-Book"/>
          <w:i/>
          <w:color w:val="231F20"/>
          <w:lang w:eastAsia="es-ES"/>
        </w:rPr>
        <w:t>1. En todos os proxectos que deban someterse ao procedemento de Declaración de impacto ambiental, segundo se establece na lexislación sectorial vixente, as entidades promotoras deberán incorporar no estudo de impacto ambiental un estudo de impacto e integración paisaxística, documento específico no que se avaliarán os efectos e impactos que o proxecto poida provocar na paisaxe e as medidas de integración paisaxística propostas polas devanditas entidades</w:t>
      </w:r>
    </w:p>
    <w:p w14:paraId="1C5BFDB9" w14:textId="77777777" w:rsidR="00AE5A25" w:rsidRPr="00D43D91" w:rsidRDefault="00AE5A25" w:rsidP="00AE5A25">
      <w:pPr>
        <w:spacing w:after="0" w:line="240" w:lineRule="auto"/>
        <w:ind w:left="1440" w:right="1287"/>
        <w:jc w:val="both"/>
        <w:rPr>
          <w:rFonts w:cs="Bodoni-Book"/>
          <w:i/>
          <w:color w:val="231F20"/>
          <w:lang w:eastAsia="es-ES"/>
        </w:rPr>
      </w:pPr>
      <w:r w:rsidRPr="00D43D91">
        <w:rPr>
          <w:rFonts w:cs="Bodoni-Book"/>
          <w:i/>
          <w:color w:val="231F20"/>
          <w:lang w:eastAsia="es-ES"/>
        </w:rPr>
        <w:t>2. Os estudos de impacto e integración paisaxística deberán conter:</w:t>
      </w:r>
    </w:p>
    <w:p w14:paraId="10217109" w14:textId="77777777" w:rsidR="00AE5A25" w:rsidRPr="00D43D91" w:rsidRDefault="00AE5A25" w:rsidP="00AE5A25">
      <w:pPr>
        <w:autoSpaceDE w:val="0"/>
        <w:autoSpaceDN w:val="0"/>
        <w:adjustRightInd w:val="0"/>
        <w:spacing w:after="0" w:line="240" w:lineRule="auto"/>
        <w:ind w:left="1701" w:right="1084"/>
        <w:rPr>
          <w:rFonts w:cs="Bodoni-Book"/>
          <w:i/>
          <w:color w:val="231F20"/>
          <w:lang w:eastAsia="es-ES"/>
        </w:rPr>
      </w:pPr>
      <w:r w:rsidRPr="00D43D91">
        <w:rPr>
          <w:rFonts w:cs="Bodoni-Book"/>
          <w:i/>
          <w:color w:val="231F20"/>
          <w:lang w:eastAsia="es-ES"/>
        </w:rPr>
        <w:t>a) Unha diagnose do estado actual da paisaxe: principais compoñentes, valores paisaxísticos, visibilidade</w:t>
      </w:r>
    </w:p>
    <w:p w14:paraId="6DFA1D0A" w14:textId="77777777" w:rsidR="00AE5A25" w:rsidRPr="00D43D91" w:rsidRDefault="00AE5A25" w:rsidP="00AE5A25">
      <w:pPr>
        <w:autoSpaceDE w:val="0"/>
        <w:autoSpaceDN w:val="0"/>
        <w:adjustRightInd w:val="0"/>
        <w:spacing w:after="0" w:line="240" w:lineRule="auto"/>
        <w:ind w:left="1701" w:right="1084"/>
        <w:rPr>
          <w:rFonts w:cs="Bodoni-Book"/>
          <w:i/>
          <w:color w:val="231F20"/>
          <w:lang w:eastAsia="es-ES"/>
        </w:rPr>
      </w:pPr>
      <w:r w:rsidRPr="00D43D91">
        <w:rPr>
          <w:rFonts w:cs="Bodoni-Book"/>
          <w:i/>
          <w:color w:val="231F20"/>
          <w:lang w:eastAsia="es-ES"/>
        </w:rPr>
        <w:t>e fraxilidade da paisaxe.</w:t>
      </w:r>
    </w:p>
    <w:p w14:paraId="2F39005F" w14:textId="77777777" w:rsidR="00AE5A25" w:rsidRPr="00D43D91" w:rsidRDefault="00AE5A25" w:rsidP="00AE5A25">
      <w:pPr>
        <w:autoSpaceDE w:val="0"/>
        <w:autoSpaceDN w:val="0"/>
        <w:adjustRightInd w:val="0"/>
        <w:spacing w:after="0" w:line="240" w:lineRule="auto"/>
        <w:ind w:left="1701" w:right="1084"/>
        <w:rPr>
          <w:rFonts w:cs="Bodoni-Book"/>
          <w:i/>
          <w:color w:val="231F20"/>
          <w:lang w:eastAsia="es-ES"/>
        </w:rPr>
      </w:pPr>
      <w:r w:rsidRPr="00D43D91">
        <w:rPr>
          <w:rFonts w:cs="Bodoni-Book"/>
          <w:i/>
          <w:color w:val="231F20"/>
          <w:lang w:eastAsia="es-ES"/>
        </w:rPr>
        <w:t>b) As características principais do proxecto.</w:t>
      </w:r>
    </w:p>
    <w:p w14:paraId="38CFFA07" w14:textId="77777777" w:rsidR="00AE5A25" w:rsidRPr="00D43D91" w:rsidRDefault="00AE5A25" w:rsidP="00AE5A25">
      <w:pPr>
        <w:autoSpaceDE w:val="0"/>
        <w:autoSpaceDN w:val="0"/>
        <w:adjustRightInd w:val="0"/>
        <w:spacing w:after="0" w:line="240" w:lineRule="auto"/>
        <w:ind w:left="1701" w:right="1084"/>
        <w:rPr>
          <w:rFonts w:cs="Bodoni-Book"/>
          <w:i/>
          <w:color w:val="231F20"/>
          <w:lang w:eastAsia="es-ES"/>
        </w:rPr>
      </w:pPr>
      <w:r w:rsidRPr="00D43D91">
        <w:rPr>
          <w:rFonts w:cs="Bodoni-Book"/>
          <w:i/>
          <w:color w:val="231F20"/>
          <w:lang w:eastAsia="es-ES"/>
        </w:rPr>
        <w:t>c) O impacto previsto do proxecto sobre os elementos que configuran a paisaxe.</w:t>
      </w:r>
    </w:p>
    <w:p w14:paraId="1DB7BD41" w14:textId="77777777" w:rsidR="00AE5A25" w:rsidRPr="00D43D91" w:rsidRDefault="00AE5A25" w:rsidP="00AE5A25">
      <w:pPr>
        <w:autoSpaceDE w:val="0"/>
        <w:autoSpaceDN w:val="0"/>
        <w:adjustRightInd w:val="0"/>
        <w:spacing w:after="0" w:line="240" w:lineRule="auto"/>
        <w:ind w:left="1701" w:right="1084"/>
        <w:rPr>
          <w:rFonts w:cs="Bodoni-Book"/>
          <w:i/>
          <w:color w:val="231F20"/>
          <w:lang w:eastAsia="es-ES"/>
        </w:rPr>
      </w:pPr>
      <w:r w:rsidRPr="00D43D91">
        <w:rPr>
          <w:rFonts w:cs="Bodoni-Book"/>
          <w:i/>
          <w:color w:val="231F20"/>
          <w:lang w:eastAsia="es-ES"/>
        </w:rPr>
        <w:t>d) A xustificación de como se incorporaron ao proxecto os obxectivos de calidade paisaxística e as determinacións das directrices de paisaxe establecidas para a unidade de paisaxe na que se pretende executar a actuación. O contido deste apartado será preceptivo unha vez que sexan aprobadas as directrices de paisaxe.</w:t>
      </w:r>
    </w:p>
    <w:p w14:paraId="2CE430DE" w14:textId="77777777" w:rsidR="00AE5A25" w:rsidRPr="00D43D91" w:rsidRDefault="00AE5A25" w:rsidP="00AE5A25">
      <w:pPr>
        <w:autoSpaceDE w:val="0"/>
        <w:autoSpaceDN w:val="0"/>
        <w:adjustRightInd w:val="0"/>
        <w:spacing w:after="0" w:line="240" w:lineRule="auto"/>
        <w:ind w:left="1701" w:right="1084"/>
        <w:rPr>
          <w:rFonts w:cs="Bodoni-Book"/>
          <w:i/>
          <w:color w:val="231F20"/>
          <w:lang w:eastAsia="es-ES"/>
        </w:rPr>
      </w:pPr>
      <w:r w:rsidRPr="00D43D91">
        <w:rPr>
          <w:rFonts w:cs="Bodoni-Book"/>
          <w:i/>
          <w:color w:val="231F20"/>
          <w:lang w:eastAsia="es-ES"/>
        </w:rPr>
        <w:t>e) Os criterios e as medidas que se deben adoptar para acadar a integración paisaxística do proxecto.</w:t>
      </w:r>
    </w:p>
    <w:p w14:paraId="49338EB6" w14:textId="77777777" w:rsidR="00AE5A25" w:rsidRPr="00D43D91" w:rsidRDefault="00AE5A25" w:rsidP="00AE5A25">
      <w:pPr>
        <w:autoSpaceDE w:val="0"/>
        <w:autoSpaceDN w:val="0"/>
        <w:adjustRightInd w:val="0"/>
        <w:spacing w:after="0" w:line="240" w:lineRule="auto"/>
        <w:ind w:left="1701" w:right="1084"/>
        <w:jc w:val="both"/>
        <w:rPr>
          <w:rFonts w:cs="Bodoni-Book"/>
          <w:i/>
          <w:color w:val="231F20"/>
          <w:lang w:eastAsia="es-ES"/>
        </w:rPr>
      </w:pPr>
    </w:p>
    <w:p w14:paraId="59F6C2B1" w14:textId="77777777" w:rsidR="00AE5A25" w:rsidRPr="00D43D91" w:rsidRDefault="00AE5A25" w:rsidP="00AE5A25">
      <w:pPr>
        <w:autoSpaceDE w:val="0"/>
        <w:autoSpaceDN w:val="0"/>
        <w:adjustRightInd w:val="0"/>
        <w:spacing w:before="120" w:after="0" w:line="240" w:lineRule="auto"/>
        <w:ind w:left="1701"/>
        <w:rPr>
          <w:rFonts w:cs="Bodoni-Book"/>
          <w:bCs/>
          <w:i/>
          <w:color w:val="231F20"/>
          <w:lang w:eastAsia="es-ES"/>
        </w:rPr>
      </w:pPr>
      <w:r w:rsidRPr="00D43D91">
        <w:rPr>
          <w:rFonts w:cs="Bodoni-Book"/>
          <w:bCs/>
          <w:i/>
          <w:color w:val="231F20"/>
          <w:lang w:eastAsia="es-ES"/>
        </w:rPr>
        <w:t>Artigo 12º.-Plans de acción da paisaxe en áreas protexidas.</w:t>
      </w:r>
    </w:p>
    <w:p w14:paraId="6A97F3B0" w14:textId="77777777" w:rsidR="00AE5A25" w:rsidRPr="00D43D91" w:rsidRDefault="00AE5A25" w:rsidP="00AE5A25">
      <w:pPr>
        <w:spacing w:before="120" w:after="0" w:line="240" w:lineRule="auto"/>
        <w:ind w:left="1440" w:right="1286"/>
        <w:jc w:val="both"/>
        <w:rPr>
          <w:rFonts w:cs="Bodoni-Book"/>
          <w:i/>
          <w:color w:val="231F20"/>
          <w:lang w:eastAsia="es-ES"/>
        </w:rPr>
      </w:pPr>
      <w:r w:rsidRPr="00D43D91">
        <w:rPr>
          <w:rFonts w:cs="Bodoni-Book"/>
          <w:i/>
          <w:color w:val="231F20"/>
          <w:lang w:eastAsia="es-ES"/>
        </w:rPr>
        <w:t>1. A Xunta de Galicia elaborará plans de acción para a protección, xestión e ordenación da paisaxe naqueles territorios declarados como espazos protexidos segundo o disposto na normativa galega vixente en materia de conservación da natureza.</w:t>
      </w:r>
    </w:p>
    <w:p w14:paraId="626C9CA6" w14:textId="77777777" w:rsidR="00AE5A25" w:rsidRPr="00D43D91" w:rsidRDefault="00AE5A25" w:rsidP="00AE5A25">
      <w:pPr>
        <w:spacing w:before="120" w:after="0" w:line="240" w:lineRule="auto"/>
        <w:ind w:left="1440" w:right="1286"/>
        <w:jc w:val="both"/>
        <w:rPr>
          <w:rFonts w:cs="Bodoni-Book"/>
          <w:i/>
          <w:color w:val="231F20"/>
          <w:lang w:eastAsia="es-ES"/>
        </w:rPr>
      </w:pPr>
      <w:r w:rsidRPr="00D43D91">
        <w:rPr>
          <w:rFonts w:cs="Bodoni-Book"/>
          <w:i/>
          <w:color w:val="231F20"/>
          <w:lang w:eastAsia="es-ES"/>
        </w:rPr>
        <w:t>2. O plan de acción axustarase ás determinación contidas nas directrices de paisaxe para o territorio onde se localice o espazo protexido, conforme os obxectivos de calidade paisaxística establecidos, e incluirá ademais unha proposta de medidas para o mantemento, a mellora, a recuperación ou a rexeneración das paisaxes presentes naquela área. Os plans de acción integraranse nos instrumentos de planificación e ordenación da área protexida, previstos na normativa galega vixente en materia de conservación da natureza.</w:t>
      </w:r>
    </w:p>
    <w:p w14:paraId="7BC273DA" w14:textId="77777777" w:rsidR="00AE5A25" w:rsidRPr="003D6D89" w:rsidRDefault="00AE5A25" w:rsidP="00AE5A25">
      <w:pPr>
        <w:pStyle w:val="Ttulo2"/>
        <w:ind w:left="709"/>
        <w:rPr>
          <w:rFonts w:ascii="Calibri" w:hAnsi="Calibri" w:cs="Calibri"/>
          <w:color w:val="000000"/>
          <w:sz w:val="24"/>
          <w:szCs w:val="24"/>
        </w:rPr>
      </w:pPr>
      <w:bookmarkStart w:id="446" w:name="_Hlk87742831"/>
      <w:bookmarkStart w:id="447" w:name="_Toc88004935"/>
      <w:bookmarkStart w:id="448" w:name="_Toc132511031"/>
      <w:r w:rsidRPr="003D6D89">
        <w:rPr>
          <w:rFonts w:ascii="Calibri" w:hAnsi="Calibri" w:cs="Calibri"/>
          <w:color w:val="000000"/>
          <w:sz w:val="24"/>
          <w:szCs w:val="24"/>
        </w:rPr>
        <w:lastRenderedPageBreak/>
        <w:t>4</w:t>
      </w:r>
      <w:r>
        <w:rPr>
          <w:rFonts w:ascii="Calibri" w:hAnsi="Calibri" w:cs="Calibri"/>
          <w:color w:val="000000"/>
          <w:sz w:val="24"/>
          <w:szCs w:val="24"/>
        </w:rPr>
        <w:t>3</w:t>
      </w:r>
      <w:r w:rsidRPr="003D6D89">
        <w:rPr>
          <w:rFonts w:ascii="Calibri" w:hAnsi="Calibri" w:cs="Calibri"/>
          <w:color w:val="000000"/>
          <w:sz w:val="24"/>
          <w:szCs w:val="24"/>
        </w:rPr>
        <w:t>.5.- Sobre os efectos sinérxicos e acumulativos aos recursos hídricos</w:t>
      </w:r>
      <w:bookmarkEnd w:id="446"/>
      <w:r w:rsidRPr="003D6D89">
        <w:rPr>
          <w:rFonts w:ascii="Calibri" w:hAnsi="Calibri" w:cs="Calibri"/>
          <w:color w:val="000000"/>
          <w:sz w:val="24"/>
          <w:szCs w:val="24"/>
        </w:rPr>
        <w:t>.</w:t>
      </w:r>
      <w:bookmarkEnd w:id="447"/>
      <w:bookmarkEnd w:id="448"/>
    </w:p>
    <w:p w14:paraId="6DE37372" w14:textId="77777777" w:rsidR="00AE5A25" w:rsidRPr="00501ECF" w:rsidRDefault="00AE5A25" w:rsidP="00AE5A25">
      <w:pPr>
        <w:spacing w:before="120" w:after="0" w:line="240" w:lineRule="auto"/>
        <w:ind w:left="993"/>
        <w:jc w:val="both"/>
        <w:rPr>
          <w:sz w:val="24"/>
          <w:szCs w:val="24"/>
        </w:rPr>
      </w:pPr>
      <w:r w:rsidRPr="00501ECF">
        <w:rPr>
          <w:sz w:val="24"/>
          <w:szCs w:val="24"/>
        </w:rPr>
        <w:t xml:space="preserve">A Serra da Groba constitúe unha unidade medioambiental, xeolóxica, paisaxística, patrimonial e etnográfica única e singular nun enclave xeográfico caracterizado por unha gran presión antrópica que ofrece innumerables </w:t>
      </w:r>
      <w:r w:rsidRPr="00501ECF">
        <w:rPr>
          <w:b/>
          <w:bCs/>
          <w:sz w:val="24"/>
          <w:szCs w:val="24"/>
        </w:rPr>
        <w:t>servizos ecosistémicos</w:t>
      </w:r>
      <w:r w:rsidRPr="00501ECF">
        <w:rPr>
          <w:sz w:val="24"/>
          <w:szCs w:val="24"/>
        </w:rPr>
        <w:t xml:space="preserve"> que é necesario conservar e protexer. As poboacións dos concellos limítrofes (Baiona, Gondomar, Tomiño, O rosal e Oia) dependen en gran medida dos recursos que ofrece esta Serra. Según datos do Instituto Galego de Estatística (IGE) en 2020 a poboación dos concellos de Baiona, Gondomar, Tomiño, O Rosal e Oia era de 49.735 habitantes. Na práctica totalidade, esta poboación abatécese de auga potable a partir dos recursos hídricos da Serra da Groba.</w:t>
      </w:r>
    </w:p>
    <w:p w14:paraId="49D0C2FE" w14:textId="77777777" w:rsidR="00AE5A25" w:rsidRPr="00501ECF" w:rsidRDefault="00AE5A25" w:rsidP="00AE5A25">
      <w:pPr>
        <w:spacing w:before="120" w:after="0" w:line="240" w:lineRule="auto"/>
        <w:ind w:left="993"/>
        <w:jc w:val="both"/>
        <w:rPr>
          <w:sz w:val="24"/>
          <w:szCs w:val="24"/>
        </w:rPr>
      </w:pPr>
      <w:r w:rsidRPr="00501ECF">
        <w:rPr>
          <w:sz w:val="24"/>
          <w:szCs w:val="24"/>
        </w:rPr>
        <w:t xml:space="preserve">O EsIA do PE </w:t>
      </w:r>
      <w:r>
        <w:rPr>
          <w:sz w:val="24"/>
          <w:szCs w:val="24"/>
        </w:rPr>
        <w:t>Torroña I</w:t>
      </w:r>
      <w:r w:rsidRPr="00501ECF">
        <w:rPr>
          <w:sz w:val="24"/>
          <w:szCs w:val="24"/>
        </w:rPr>
        <w:t xml:space="preserve"> s</w:t>
      </w:r>
      <w:r>
        <w:rPr>
          <w:sz w:val="24"/>
          <w:szCs w:val="24"/>
        </w:rPr>
        <w:t>ó</w:t>
      </w:r>
      <w:r w:rsidRPr="00501ECF">
        <w:rPr>
          <w:sz w:val="24"/>
          <w:szCs w:val="24"/>
        </w:rPr>
        <w:t xml:space="preserve"> aborda </w:t>
      </w:r>
      <w:r>
        <w:rPr>
          <w:sz w:val="24"/>
          <w:szCs w:val="24"/>
        </w:rPr>
        <w:t xml:space="preserve">someramente </w:t>
      </w:r>
      <w:r w:rsidRPr="00501ECF">
        <w:rPr>
          <w:sz w:val="24"/>
          <w:szCs w:val="24"/>
        </w:rPr>
        <w:t>o</w:t>
      </w:r>
      <w:r>
        <w:rPr>
          <w:sz w:val="24"/>
          <w:szCs w:val="24"/>
        </w:rPr>
        <w:t>s posibles efectos sinérxicos e a</w:t>
      </w:r>
      <w:r w:rsidRPr="00501ECF">
        <w:rPr>
          <w:sz w:val="24"/>
          <w:szCs w:val="24"/>
        </w:rPr>
        <w:t>cumulativos sobre os cursos de auga superficiais e non se avalían os efectos sobre as augas subterráneas, especialmente no que atinxe ós efectos sobre a calidade e dispoñibilidade do recurso hídrico tanto para o abastecemento da poboación como para o mantemento do equilibrio hídrico dos ecosistemas.</w:t>
      </w:r>
    </w:p>
    <w:p w14:paraId="68D5575F" w14:textId="77777777" w:rsidR="00AE5A25" w:rsidRPr="00501ECF" w:rsidRDefault="00AE5A25" w:rsidP="00AE5A25">
      <w:pPr>
        <w:autoSpaceDE w:val="0"/>
        <w:autoSpaceDN w:val="0"/>
        <w:adjustRightInd w:val="0"/>
        <w:spacing w:before="120" w:after="0" w:line="240" w:lineRule="auto"/>
        <w:ind w:left="993"/>
        <w:jc w:val="both"/>
        <w:rPr>
          <w:sz w:val="24"/>
          <w:szCs w:val="24"/>
          <w:shd w:val="clear" w:color="auto" w:fill="FFFFFF"/>
          <w:lang w:eastAsia="es-ES"/>
        </w:rPr>
      </w:pPr>
      <w:r w:rsidRPr="00501ECF">
        <w:rPr>
          <w:sz w:val="24"/>
          <w:szCs w:val="24"/>
        </w:rPr>
        <w:t>Debido á afección ó rexime hídrico ocasionada pola remoción de terras e voaduras para a construcción</w:t>
      </w:r>
      <w:r w:rsidRPr="00501ECF">
        <w:rPr>
          <w:sz w:val="24"/>
          <w:szCs w:val="24"/>
          <w:shd w:val="clear" w:color="auto" w:fill="FFFFFF"/>
          <w:lang w:eastAsia="es-ES"/>
        </w:rPr>
        <w:t xml:space="preserve"> de viais, zanxas e cimentacións dos aeroxeradores, debería realizarse un estudo hidrolóxico das augas superficiais e un estudo hidroxeolóxico para as augas subterráneas. Non se realizaron </w:t>
      </w:r>
      <w:r w:rsidRPr="00501ECF">
        <w:rPr>
          <w:b/>
          <w:bCs/>
          <w:sz w:val="24"/>
          <w:szCs w:val="24"/>
          <w:shd w:val="clear" w:color="auto" w:fill="FFFFFF"/>
          <w:lang w:eastAsia="es-ES"/>
        </w:rPr>
        <w:t>ESTUDOS HIDROLÓXICOS</w:t>
      </w:r>
      <w:r w:rsidRPr="00501ECF">
        <w:rPr>
          <w:sz w:val="24"/>
          <w:szCs w:val="24"/>
          <w:shd w:val="clear" w:color="auto" w:fill="FFFFFF"/>
          <w:lang w:eastAsia="es-ES"/>
        </w:rPr>
        <w:t> en sistemas acuáticos, tanto  lóticos como  lénticos, mediante caracterizacións fluviais e das masas de auga (perfís de fluxo,  batimetrías, perfís verticais de O</w:t>
      </w:r>
      <w:r w:rsidRPr="00501ECF">
        <w:rPr>
          <w:sz w:val="24"/>
          <w:szCs w:val="24"/>
          <w:shd w:val="clear" w:color="auto" w:fill="FFFFFF"/>
          <w:vertAlign w:val="subscript"/>
          <w:lang w:eastAsia="es-ES"/>
        </w:rPr>
        <w:t>2</w:t>
      </w:r>
      <w:r w:rsidRPr="00501ECF">
        <w:rPr>
          <w:sz w:val="24"/>
          <w:szCs w:val="24"/>
          <w:shd w:val="clear" w:color="auto" w:fill="FFFFFF"/>
          <w:lang w:eastAsia="es-ES"/>
        </w:rPr>
        <w:t>,  Tª,  pH,  Turbidez,  clorofila, etc), así como cálculo de caudal ecolóxico, determinación de estado ecolóxico </w:t>
      </w:r>
      <w:r w:rsidRPr="00501ECF">
        <w:rPr>
          <w:b/>
          <w:bCs/>
          <w:sz w:val="24"/>
          <w:szCs w:val="24"/>
          <w:u w:val="single"/>
          <w:shd w:val="clear" w:color="auto" w:fill="FFFFFF"/>
          <w:lang w:eastAsia="es-ES"/>
        </w:rPr>
        <w:t>segundo a Directiva Marco da auga (DMA),</w:t>
      </w:r>
      <w:r w:rsidRPr="00501ECF">
        <w:rPr>
          <w:sz w:val="24"/>
          <w:szCs w:val="24"/>
          <w:shd w:val="clear" w:color="auto" w:fill="FFFFFF"/>
          <w:lang w:eastAsia="es-ES"/>
        </w:rPr>
        <w:t> estudo de comunidades biolóxicas, grao de  eutrofización, drenaxe aceda, presenza de contaminantes en auga, sedimento e  biota, entre outras moitas variables relacionadas (autorizacións e control de verteduras, cálculo de canon de verteduras e redución do mesmo, remediación de contaminación por hidrocarburos, metais pesados e otros, proxectos de restauración e actuacións de descontaminación se fose o caso, elaboración de plans de continxencia por contaminación accidental do medio acuático, xestión de recursos hídricos e asesoramento na planificación hidrolóxica, etc). </w:t>
      </w:r>
    </w:p>
    <w:p w14:paraId="5B85D431" w14:textId="77777777" w:rsidR="00AE5A25" w:rsidRPr="00501ECF" w:rsidRDefault="00AE5A25" w:rsidP="00AE5A25">
      <w:pPr>
        <w:autoSpaceDE w:val="0"/>
        <w:autoSpaceDN w:val="0"/>
        <w:adjustRightInd w:val="0"/>
        <w:spacing w:before="120" w:after="0" w:line="240" w:lineRule="auto"/>
        <w:ind w:left="992"/>
        <w:jc w:val="both"/>
        <w:rPr>
          <w:sz w:val="24"/>
          <w:szCs w:val="24"/>
          <w:shd w:val="clear" w:color="auto" w:fill="FFFFFF"/>
          <w:lang w:eastAsia="es-ES"/>
        </w:rPr>
      </w:pPr>
      <w:r w:rsidRPr="00501ECF">
        <w:rPr>
          <w:sz w:val="24"/>
          <w:szCs w:val="24"/>
          <w:shd w:val="clear" w:color="auto" w:fill="FFFFFF"/>
          <w:lang w:eastAsia="es-ES"/>
        </w:rPr>
        <w:t xml:space="preserve">Debido á ausencia dunha adecuada avaliación dos efectos sinérxicos e acumulativos dos PEs </w:t>
      </w:r>
      <w:r w:rsidRPr="00501ECF">
        <w:rPr>
          <w:b/>
          <w:bCs/>
          <w:sz w:val="24"/>
          <w:szCs w:val="24"/>
          <w:shd w:val="clear" w:color="auto" w:fill="FFFFFF"/>
          <w:lang w:eastAsia="es-ES"/>
        </w:rPr>
        <w:t>non se dispón do cálculo dos volumes de materias removidos</w:t>
      </w:r>
      <w:r w:rsidRPr="00501ECF">
        <w:rPr>
          <w:sz w:val="24"/>
          <w:szCs w:val="24"/>
          <w:shd w:val="clear" w:color="auto" w:fill="FFFFFF"/>
          <w:lang w:eastAsia="es-ES"/>
        </w:rPr>
        <w:t>, porén, prevese que estes sexan de gran magnitude dadas as dimensión das superficies esplanadas polo que se fai necesario un estudo da conectividade fluvial, estudo de prevención de fenómenos hidrolóxicos extremos (inundacións, secas), estudo cartográfico de zonas inundables (cunca de achega fluvial, balance hídrico…). </w:t>
      </w:r>
    </w:p>
    <w:p w14:paraId="382A3F3B" w14:textId="77777777" w:rsidR="00AE5A25" w:rsidRPr="00501ECF" w:rsidRDefault="00AE5A25" w:rsidP="00AE5A25">
      <w:pPr>
        <w:autoSpaceDE w:val="0"/>
        <w:autoSpaceDN w:val="0"/>
        <w:adjustRightInd w:val="0"/>
        <w:spacing w:before="120" w:after="0" w:line="240" w:lineRule="auto"/>
        <w:ind w:left="992"/>
        <w:jc w:val="both"/>
        <w:rPr>
          <w:sz w:val="24"/>
          <w:szCs w:val="24"/>
          <w:shd w:val="clear" w:color="auto" w:fill="FFFFFF"/>
          <w:lang w:eastAsia="es-ES"/>
        </w:rPr>
      </w:pPr>
      <w:r w:rsidRPr="00501ECF">
        <w:rPr>
          <w:sz w:val="24"/>
          <w:szCs w:val="24"/>
          <w:shd w:val="clear" w:color="auto" w:fill="FFFFFF"/>
          <w:lang w:eastAsia="es-ES"/>
        </w:rPr>
        <w:t>No que respecta aos </w:t>
      </w:r>
      <w:r w:rsidRPr="00501ECF">
        <w:rPr>
          <w:b/>
          <w:bCs/>
          <w:sz w:val="24"/>
          <w:szCs w:val="24"/>
          <w:shd w:val="clear" w:color="auto" w:fill="FFFFFF"/>
          <w:lang w:eastAsia="es-ES"/>
        </w:rPr>
        <w:t>ESTUDOS HIDROXEOLÓXICOS</w:t>
      </w:r>
      <w:r w:rsidRPr="00501ECF">
        <w:rPr>
          <w:sz w:val="24"/>
          <w:szCs w:val="24"/>
          <w:shd w:val="clear" w:color="auto" w:fill="FFFFFF"/>
          <w:lang w:eastAsia="es-ES"/>
        </w:rPr>
        <w:t> deben avaliarse os recursos e reservas de auga subterránea, e deben realizarse modelos de comportamento hidrolóxico de cuncas, balances hídricos, puntos de auga, inventarios e caracterización de unidades hidroxeolóxicas, estudos e modelos hidroxeolóxicos, estudos de seguemento hidroxeolóxico de sondaxes, xestión de autorizacións de captación para abastecemento, estudos de control piezométrico de acuíferos, etc. </w:t>
      </w:r>
    </w:p>
    <w:p w14:paraId="47C895B2" w14:textId="77777777" w:rsidR="00AE5A25" w:rsidRPr="00501ECF" w:rsidRDefault="00AE5A25" w:rsidP="00AE5A25">
      <w:pPr>
        <w:autoSpaceDE w:val="0"/>
        <w:autoSpaceDN w:val="0"/>
        <w:adjustRightInd w:val="0"/>
        <w:spacing w:before="120" w:after="0" w:line="240" w:lineRule="auto"/>
        <w:ind w:left="992"/>
        <w:jc w:val="both"/>
        <w:rPr>
          <w:sz w:val="24"/>
          <w:szCs w:val="24"/>
          <w:shd w:val="clear" w:color="auto" w:fill="FFFFFF"/>
          <w:lang w:eastAsia="es-ES"/>
        </w:rPr>
      </w:pPr>
      <w:r w:rsidRPr="00501ECF">
        <w:rPr>
          <w:sz w:val="24"/>
          <w:szCs w:val="24"/>
          <w:shd w:val="clear" w:color="auto" w:fill="FFFFFF"/>
          <w:lang w:eastAsia="es-ES"/>
        </w:rPr>
        <w:t xml:space="preserve">A importancia dunha correcta avaliación dos efectos sobre os recursos hídricos é de vital importancia neste tipo de proxectos tendo en conta ademáis o escenario </w:t>
      </w:r>
      <w:r w:rsidRPr="00501ECF">
        <w:rPr>
          <w:sz w:val="24"/>
          <w:szCs w:val="24"/>
          <w:shd w:val="clear" w:color="auto" w:fill="FFFFFF"/>
          <w:lang w:eastAsia="es-ES"/>
        </w:rPr>
        <w:lastRenderedPageBreak/>
        <w:t xml:space="preserve">de </w:t>
      </w:r>
      <w:r w:rsidRPr="00501ECF">
        <w:rPr>
          <w:b/>
          <w:bCs/>
          <w:sz w:val="24"/>
          <w:szCs w:val="24"/>
          <w:shd w:val="clear" w:color="auto" w:fill="FFFFFF"/>
          <w:lang w:eastAsia="es-ES"/>
        </w:rPr>
        <w:t>cambio climático</w:t>
      </w:r>
      <w:r w:rsidRPr="00501ECF">
        <w:rPr>
          <w:sz w:val="24"/>
          <w:szCs w:val="24"/>
          <w:shd w:val="clear" w:color="auto" w:fill="FFFFFF"/>
          <w:lang w:eastAsia="es-ES"/>
        </w:rPr>
        <w:t xml:space="preserve"> no que nos atopamos. Xa na actualidade as localidades limítrofes que dependen dos recursos hídricos da Serra da Groba teñen problemas de abastecemento no verán motivados polos cada máis frecuentes eventos de sequía e agravados por un importante incremento da poboación estival asociada ás actividades turísticas das que depende en gran medida a economía local. Os estudos hidrolóxicos e hidroxeolóxicos deben contamplar ademáis amplos períodos de retorno que teñan en conta as predicións dos modelos climáticos nos diferentes escenarios.</w:t>
      </w:r>
    </w:p>
    <w:p w14:paraId="7523B0A4" w14:textId="77777777" w:rsidR="00AE5A25" w:rsidRPr="003D6D89" w:rsidRDefault="00AE5A25" w:rsidP="00AE5A25">
      <w:pPr>
        <w:pStyle w:val="Ttulo2"/>
        <w:ind w:firstLine="709"/>
        <w:rPr>
          <w:rFonts w:ascii="Calibri" w:hAnsi="Calibri" w:cs="Calibri"/>
          <w:color w:val="000000"/>
          <w:sz w:val="24"/>
          <w:szCs w:val="24"/>
        </w:rPr>
      </w:pPr>
      <w:bookmarkStart w:id="449" w:name="_Hlk87742843"/>
      <w:bookmarkStart w:id="450" w:name="_Toc88004936"/>
      <w:bookmarkStart w:id="451" w:name="_Toc132511032"/>
      <w:r w:rsidRPr="003D6D89">
        <w:rPr>
          <w:rFonts w:ascii="Calibri" w:hAnsi="Calibri" w:cs="Calibri"/>
          <w:color w:val="000000"/>
          <w:sz w:val="24"/>
          <w:szCs w:val="24"/>
        </w:rPr>
        <w:t>4</w:t>
      </w:r>
      <w:r>
        <w:rPr>
          <w:rFonts w:ascii="Calibri" w:hAnsi="Calibri" w:cs="Calibri"/>
          <w:color w:val="000000"/>
          <w:sz w:val="24"/>
          <w:szCs w:val="24"/>
        </w:rPr>
        <w:t>3</w:t>
      </w:r>
      <w:r w:rsidRPr="003D6D89">
        <w:rPr>
          <w:rFonts w:ascii="Calibri" w:hAnsi="Calibri" w:cs="Calibri"/>
          <w:color w:val="000000"/>
          <w:sz w:val="24"/>
          <w:szCs w:val="24"/>
        </w:rPr>
        <w:t>.6.- Sobre os efectos sinérxicos da liña de evacuación</w:t>
      </w:r>
      <w:bookmarkEnd w:id="449"/>
      <w:r w:rsidRPr="003D6D89">
        <w:rPr>
          <w:rFonts w:ascii="Calibri" w:hAnsi="Calibri" w:cs="Calibri"/>
          <w:color w:val="000000"/>
          <w:sz w:val="24"/>
          <w:szCs w:val="24"/>
        </w:rPr>
        <w:t>.</w:t>
      </w:r>
      <w:bookmarkEnd w:id="450"/>
      <w:bookmarkEnd w:id="451"/>
    </w:p>
    <w:p w14:paraId="753C81C1" w14:textId="77777777" w:rsidR="00AE5A25" w:rsidRPr="00501ECF" w:rsidRDefault="00AE5A25" w:rsidP="00AE5A25">
      <w:pPr>
        <w:ind w:left="993"/>
        <w:jc w:val="both"/>
        <w:rPr>
          <w:sz w:val="24"/>
          <w:szCs w:val="24"/>
        </w:rPr>
      </w:pPr>
      <w:r w:rsidRPr="00501ECF">
        <w:rPr>
          <w:sz w:val="24"/>
          <w:szCs w:val="24"/>
        </w:rPr>
        <w:t>No EsIA analízanse os posibles efectos sinérxicos e acumulativos da liña de evacuación proxectada para a conexión da subestación de Barrantes coa línea xa existente “Gondomar – O Rosal 132 kV”, porén, non existe o proxecto de evacuación polo que non é posible avaliar os efectos dun proxecto que non existe. Malia esta circunstancia, non se avalían os efectos da liña de evacuación sobre os riscos de colisión para o caso das rapaces nocturnos, especies que foron omitidas en todo o proxecto.</w:t>
      </w:r>
    </w:p>
    <w:p w14:paraId="2D4AC4D2" w14:textId="77777777" w:rsidR="00AE5A25" w:rsidRPr="00501ECF" w:rsidRDefault="00AE5A25" w:rsidP="00AE5A25">
      <w:pPr>
        <w:ind w:left="993"/>
        <w:jc w:val="both"/>
        <w:rPr>
          <w:sz w:val="24"/>
          <w:szCs w:val="24"/>
        </w:rPr>
      </w:pPr>
      <w:r w:rsidRPr="00501ECF">
        <w:rPr>
          <w:sz w:val="24"/>
          <w:szCs w:val="24"/>
        </w:rPr>
        <w:t>Non se avalían os efectos sinérxecos e acumulativos das liñas de evacuación dos demáis parques eólicos da contorna.</w:t>
      </w:r>
    </w:p>
    <w:p w14:paraId="286D81EF" w14:textId="77777777" w:rsidR="00AE5A25" w:rsidRPr="00EE1974" w:rsidRDefault="00AE5A25" w:rsidP="00AE5A25">
      <w:pPr>
        <w:pStyle w:val="Ttulo2"/>
        <w:ind w:left="709"/>
        <w:rPr>
          <w:rFonts w:ascii="Calibri" w:hAnsi="Calibri" w:cs="Calibri"/>
          <w:color w:val="000000"/>
          <w:sz w:val="24"/>
          <w:szCs w:val="24"/>
        </w:rPr>
      </w:pPr>
      <w:bookmarkStart w:id="452" w:name="_Hlk87742858"/>
      <w:bookmarkStart w:id="453" w:name="_Toc88004937"/>
      <w:bookmarkStart w:id="454" w:name="_Toc132511033"/>
      <w:r w:rsidRPr="00EE1974">
        <w:rPr>
          <w:rFonts w:ascii="Calibri" w:hAnsi="Calibri" w:cs="Calibri"/>
          <w:color w:val="000000"/>
          <w:sz w:val="24"/>
          <w:szCs w:val="24"/>
        </w:rPr>
        <w:t>4</w:t>
      </w:r>
      <w:r>
        <w:rPr>
          <w:rFonts w:ascii="Calibri" w:hAnsi="Calibri" w:cs="Calibri"/>
          <w:color w:val="000000"/>
          <w:sz w:val="24"/>
          <w:szCs w:val="24"/>
        </w:rPr>
        <w:t>3</w:t>
      </w:r>
      <w:r w:rsidRPr="00EE1974">
        <w:rPr>
          <w:rFonts w:ascii="Calibri" w:hAnsi="Calibri" w:cs="Calibri"/>
          <w:color w:val="000000"/>
          <w:sz w:val="24"/>
          <w:szCs w:val="24"/>
        </w:rPr>
        <w:t>.7.- Sobre os efectos sinérxicos e acumulativos sobre a avifauna</w:t>
      </w:r>
      <w:bookmarkEnd w:id="452"/>
      <w:r w:rsidRPr="00EE1974">
        <w:rPr>
          <w:rFonts w:ascii="Calibri" w:hAnsi="Calibri" w:cs="Calibri"/>
          <w:color w:val="000000"/>
          <w:sz w:val="24"/>
          <w:szCs w:val="24"/>
        </w:rPr>
        <w:t>.</w:t>
      </w:r>
      <w:bookmarkEnd w:id="453"/>
      <w:bookmarkEnd w:id="454"/>
    </w:p>
    <w:p w14:paraId="0C1E78E8" w14:textId="77777777" w:rsidR="00AE5A25" w:rsidRPr="00501ECF" w:rsidRDefault="00AE5A25" w:rsidP="00AE5A25">
      <w:pPr>
        <w:spacing w:after="120"/>
        <w:ind w:left="992"/>
        <w:jc w:val="both"/>
        <w:rPr>
          <w:sz w:val="24"/>
          <w:szCs w:val="24"/>
        </w:rPr>
      </w:pPr>
      <w:r w:rsidRPr="00501ECF">
        <w:rPr>
          <w:sz w:val="24"/>
          <w:szCs w:val="24"/>
        </w:rPr>
        <w:t xml:space="preserve">Mitigar o cambio climático e conservar a biodiversidade son cruciais nos esforzos por protexer a contorna. Unha ferramenta cun papel fundamental na mitigación do cambio climático é o desenvolvemento de parques eólicos. Con todo, dado que os parques eólicos representan unha seria ameaza para as aves e os seus hábitats, o seu desenvolvemento a gran escala pode crear problemas substanciais para a conservación da biodiversidade. Tal problema é especialmente agudo cando os parques eólicos se instalan en zonas de alto valor ornitolóxico. Se estas áreas tamén son valiosas para o desenvolvemento de parques eólicos, é fundamental atopar solucións que poidan resolver estas prioridades en conflito.  Estas solucións deben abordar de maneira sinérxica e acumulativa os impactos dos parques eólicos, baseándose en evidencia científica sólida que considere os vínculos ecolóxicos entre ecosistemas aparentemente distintos, e debe dar lugar a propostas específicas de acordo co principio de precaución (Bright </w:t>
      </w:r>
      <w:r w:rsidRPr="00501ECF">
        <w:rPr>
          <w:i/>
          <w:iCs/>
          <w:sz w:val="24"/>
          <w:szCs w:val="24"/>
        </w:rPr>
        <w:t>et al.</w:t>
      </w:r>
      <w:r w:rsidRPr="00501ECF">
        <w:rPr>
          <w:sz w:val="24"/>
          <w:szCs w:val="24"/>
        </w:rPr>
        <w:t xml:space="preserve"> 2009).</w:t>
      </w:r>
    </w:p>
    <w:p w14:paraId="08110FE9" w14:textId="77777777" w:rsidR="00AE5A25" w:rsidRPr="00501ECF" w:rsidRDefault="00AE5A25" w:rsidP="00AE5A25">
      <w:pPr>
        <w:spacing w:after="120"/>
        <w:ind w:left="992"/>
        <w:jc w:val="both"/>
        <w:rPr>
          <w:sz w:val="24"/>
          <w:szCs w:val="24"/>
        </w:rPr>
      </w:pPr>
      <w:r w:rsidRPr="00501ECF">
        <w:rPr>
          <w:sz w:val="24"/>
          <w:szCs w:val="24"/>
        </w:rPr>
        <w:t xml:space="preserve">Consonte coas Directivas da UE (85/337/EEC emendada por 97/11/EC, 2001/42/EC), as plantas de enerxía eólica cuxos efectos acumulativos poden perturbar as migracións de animais e/ou a integridade do hábitat das poboacións en perigo de extinción, deben ser avaliadas dentro do contexto de marcos de </w:t>
      </w:r>
      <w:r w:rsidRPr="00501ECF">
        <w:rPr>
          <w:b/>
          <w:bCs/>
          <w:sz w:val="24"/>
          <w:szCs w:val="24"/>
        </w:rPr>
        <w:t>avaliación integral a gran escala</w:t>
      </w:r>
      <w:r w:rsidRPr="00501ECF">
        <w:rPr>
          <w:sz w:val="24"/>
          <w:szCs w:val="24"/>
        </w:rPr>
        <w:t xml:space="preserve"> (</w:t>
      </w:r>
      <w:r w:rsidRPr="00501ECF">
        <w:rPr>
          <w:i/>
          <w:iCs/>
          <w:sz w:val="24"/>
          <w:szCs w:val="24"/>
        </w:rPr>
        <w:t>Exo et al.</w:t>
      </w:r>
      <w:r w:rsidRPr="00501ECF">
        <w:rPr>
          <w:sz w:val="24"/>
          <w:szCs w:val="24"/>
        </w:rPr>
        <w:t xml:space="preserve"> 2003; Drewitt e Langston 2006; Fox </w:t>
      </w:r>
      <w:r w:rsidRPr="00501ECF">
        <w:rPr>
          <w:i/>
          <w:iCs/>
          <w:sz w:val="24"/>
          <w:szCs w:val="24"/>
        </w:rPr>
        <w:t>et al.</w:t>
      </w:r>
      <w:r w:rsidRPr="00501ECF">
        <w:rPr>
          <w:sz w:val="24"/>
          <w:szCs w:val="24"/>
        </w:rPr>
        <w:t xml:space="preserve"> 2006, Tellería, 2009).</w:t>
      </w:r>
    </w:p>
    <w:p w14:paraId="119C16E5" w14:textId="77777777" w:rsidR="00AE5A25" w:rsidRPr="00501ECF" w:rsidRDefault="00AE5A25" w:rsidP="00AE5A25">
      <w:pPr>
        <w:spacing w:after="120"/>
        <w:ind w:left="992"/>
        <w:jc w:val="both"/>
        <w:rPr>
          <w:b/>
          <w:bCs/>
          <w:color w:val="92D050"/>
          <w:sz w:val="24"/>
          <w:szCs w:val="24"/>
        </w:rPr>
      </w:pPr>
      <w:r w:rsidRPr="00501ECF">
        <w:rPr>
          <w:sz w:val="24"/>
          <w:szCs w:val="24"/>
        </w:rPr>
        <w:t xml:space="preserve">O risco de colisión específico da especie coas turbinas eólicas difire en gran medida entre as especies como resultado de claras diferenzas de comportamento. Os conflitos legais de protección de especies non sempre poden resolverse </w:t>
      </w:r>
      <w:r w:rsidRPr="00501ECF">
        <w:rPr>
          <w:sz w:val="24"/>
          <w:szCs w:val="24"/>
        </w:rPr>
        <w:lastRenderedPageBreak/>
        <w:t xml:space="preserve">adecuadamente para un proxecto individual. Por tanto, requírense solucións globais para acompañar a expansión adicional dos parques eólicos, que aseguren que isto non conduza a unha diminución severa de certas especies de aves que se ven particularmente afectadas polas colisións. Especificamente, débense abordar as seguintes estratexias: programas de conservación da vida silvestre a gran escala que melloran os hábitats, particularmente en termos de dispoñibilidade de alimentos, identificación de centros de densidade específicos de especies que son de particular importancia como poboacións de orixe, e avaliación de medidas específicas para protexelos e promovelos, desenvolvemento de conceptos e probas prácticas de apoio á protección de especies post-construción en termos da súa efectividade e os seus efectos económicos. Debe realizarse traballos de investigación en termos de escala e tratamento dos efectos acumulativos (Grünkorn </w:t>
      </w:r>
      <w:r w:rsidRPr="00501ECF">
        <w:rPr>
          <w:i/>
          <w:iCs/>
          <w:sz w:val="24"/>
          <w:szCs w:val="24"/>
        </w:rPr>
        <w:t>et al.</w:t>
      </w:r>
      <w:r w:rsidRPr="00501ECF">
        <w:rPr>
          <w:sz w:val="24"/>
          <w:szCs w:val="24"/>
        </w:rPr>
        <w:t xml:space="preserve"> 2017).</w:t>
      </w:r>
      <w:r w:rsidRPr="00501ECF">
        <w:rPr>
          <w:b/>
          <w:bCs/>
          <w:color w:val="92D050"/>
          <w:sz w:val="24"/>
          <w:szCs w:val="24"/>
        </w:rPr>
        <w:t xml:space="preserve"> </w:t>
      </w:r>
    </w:p>
    <w:p w14:paraId="2C26F9FA" w14:textId="77777777" w:rsidR="00AE5A25" w:rsidRPr="00501ECF" w:rsidRDefault="00AE5A25" w:rsidP="00AE5A25">
      <w:pPr>
        <w:ind w:left="993"/>
        <w:jc w:val="both"/>
        <w:rPr>
          <w:sz w:val="24"/>
          <w:szCs w:val="24"/>
        </w:rPr>
      </w:pPr>
      <w:r w:rsidRPr="00501ECF">
        <w:rPr>
          <w:i/>
          <w:iCs/>
          <w:sz w:val="24"/>
          <w:szCs w:val="24"/>
        </w:rPr>
        <w:t xml:space="preserve"> </w:t>
      </w:r>
      <w:r w:rsidRPr="00501ECF">
        <w:rPr>
          <w:sz w:val="24"/>
          <w:szCs w:val="24"/>
        </w:rPr>
        <w:t>Son moitas as aves acuáticas que vencelladas ás ZEC A Ramallosa (ES1140003) e ZEC Baixo Miño (ES1140007) empregan a Serra da Groba como corredor ecolóxico de interconectividade funcional territorial e mesmo nas súas rutas migratorias. Incluso aves rapaces ligadas a estas Zonas de Espacial Conservación como</w:t>
      </w:r>
      <w:r w:rsidRPr="00501ECF">
        <w:rPr>
          <w:i/>
          <w:iCs/>
          <w:sz w:val="24"/>
          <w:szCs w:val="24"/>
        </w:rPr>
        <w:t xml:space="preserve">  Pandion haliaetus</w:t>
      </w:r>
      <w:r w:rsidRPr="00501ECF">
        <w:rPr>
          <w:sz w:val="24"/>
          <w:szCs w:val="24"/>
        </w:rPr>
        <w:t xml:space="preserve">, ave migradora presente tanto na ZEC A Ramallosa (ES1140003) como na ZEC Baixo Miño (ES1140007) que emprega a Serra da Groba como corredor migratorio e de mobilidade xa que as súas áreas de alimentación poden estar ubicadas bastante lonxe do sitio de nidificación, chegándose a observa voos de alimentación de ata 10 ou 20 km (Bright </w:t>
      </w:r>
      <w:r w:rsidRPr="00501ECF">
        <w:rPr>
          <w:i/>
          <w:iCs/>
          <w:sz w:val="24"/>
          <w:szCs w:val="24"/>
        </w:rPr>
        <w:t>et al.</w:t>
      </w:r>
      <w:r w:rsidRPr="00501ECF">
        <w:rPr>
          <w:sz w:val="24"/>
          <w:szCs w:val="24"/>
        </w:rPr>
        <w:t xml:space="preserve"> 2009).</w:t>
      </w:r>
    </w:p>
    <w:p w14:paraId="6E50BACB" w14:textId="77777777" w:rsidR="00AE5A25" w:rsidRPr="00501ECF" w:rsidRDefault="00AE5A25" w:rsidP="00AE5A25">
      <w:pPr>
        <w:pBdr>
          <w:top w:val="single" w:sz="4" w:space="1" w:color="auto"/>
          <w:left w:val="single" w:sz="4" w:space="4" w:color="auto"/>
          <w:bottom w:val="single" w:sz="4" w:space="1" w:color="auto"/>
          <w:right w:val="single" w:sz="4" w:space="4" w:color="auto"/>
        </w:pBdr>
        <w:ind w:left="709"/>
        <w:jc w:val="both"/>
        <w:rPr>
          <w:sz w:val="24"/>
          <w:szCs w:val="24"/>
        </w:rPr>
      </w:pPr>
      <w:r w:rsidRPr="00501ECF">
        <w:rPr>
          <w:sz w:val="24"/>
          <w:szCs w:val="24"/>
        </w:rPr>
        <w:t xml:space="preserve">Os efectos sinérxicos e acumulativos sobre a comunidade de aves será </w:t>
      </w:r>
      <w:r w:rsidRPr="00501ECF">
        <w:rPr>
          <w:b/>
          <w:bCs/>
          <w:sz w:val="24"/>
          <w:szCs w:val="24"/>
        </w:rPr>
        <w:t>MOI SEVERO</w:t>
      </w:r>
      <w:r w:rsidRPr="00501ECF">
        <w:rPr>
          <w:sz w:val="24"/>
          <w:szCs w:val="24"/>
        </w:rPr>
        <w:t>.</w:t>
      </w:r>
    </w:p>
    <w:p w14:paraId="2A1AE8D2" w14:textId="77777777" w:rsidR="00AE5A25" w:rsidRDefault="00AE5A25" w:rsidP="00AE5A25">
      <w:pPr>
        <w:spacing w:before="120"/>
        <w:rPr>
          <w:rFonts w:cs="Calibri"/>
          <w:sz w:val="24"/>
          <w:szCs w:val="24"/>
        </w:rPr>
      </w:pPr>
      <w:bookmarkStart w:id="455" w:name="_Hlk87742874"/>
      <w:bookmarkStart w:id="456" w:name="_Toc88004938"/>
      <w:bookmarkStart w:id="457" w:name="_Hlk91602023"/>
      <w:r>
        <w:rPr>
          <w:rFonts w:cs="Calibri"/>
          <w:sz w:val="24"/>
          <w:szCs w:val="24"/>
        </w:rPr>
        <w:t>Finalmente, vulnérase a Lei 62/2013 de avaliación de impacto ambinetal no su artigo 35 establece que:</w:t>
      </w:r>
    </w:p>
    <w:p w14:paraId="6562897E" w14:textId="77777777" w:rsidR="00AE5A25" w:rsidRDefault="00AE5A25" w:rsidP="00AE5A25">
      <w:pPr>
        <w:spacing w:before="120" w:after="0"/>
        <w:ind w:left="540" w:right="585"/>
        <w:jc w:val="both"/>
        <w:rPr>
          <w:rFonts w:cs="Calibri"/>
          <w:i/>
        </w:rPr>
      </w:pPr>
      <w:r w:rsidRPr="00BE09D8">
        <w:rPr>
          <w:rFonts w:cs="Calibri"/>
          <w:i/>
        </w:rPr>
        <w:t xml:space="preserve">c) Identificación, descripción, análisis y, si procede, cuantificación de los posibles efectos significativos directos o indirectos, secundarios, acumulativos y sinérgicos del proyecto sobre los siguientes factores: la población, la salud humana, la flora, la fauna, la biodiversidad, la geodiversidad, el suelo, el subsuelo, el aire, el agua, el medio marino, el clima, el cambio climático, el paisaje, los bienes materiales, el patrimonio cultural, y </w:t>
      </w:r>
      <w:r w:rsidRPr="00BE09D8">
        <w:rPr>
          <w:rFonts w:cs="Calibri"/>
          <w:b/>
          <w:i/>
        </w:rPr>
        <w:t>la interacción entre todos los factores mencionados, durante las fases de ejecución, explotación y en su caso durante la demolición o abandono del proyecto</w:t>
      </w:r>
      <w:r w:rsidRPr="00BE09D8">
        <w:rPr>
          <w:rFonts w:cs="Calibri"/>
          <w:i/>
        </w:rPr>
        <w:t>.</w:t>
      </w:r>
    </w:p>
    <w:p w14:paraId="10419260" w14:textId="77777777" w:rsidR="00AE5A25" w:rsidRDefault="00AE5A25" w:rsidP="00AE5A25">
      <w:pPr>
        <w:spacing w:before="120" w:after="0"/>
        <w:ind w:right="585"/>
        <w:jc w:val="both"/>
        <w:rPr>
          <w:rFonts w:cs="Calibri"/>
        </w:rPr>
      </w:pPr>
      <w:r w:rsidRPr="00BE09D8">
        <w:rPr>
          <w:rFonts w:cs="Calibri"/>
        </w:rPr>
        <w:t>Non se fixo unha avaliación da interacción entre todos os factores mencionados polo que a avaliación de efectos sinérxicos e acumulativos non é adecuada.</w:t>
      </w:r>
    </w:p>
    <w:p w14:paraId="2D9D80F2" w14:textId="77777777" w:rsidR="004672E3" w:rsidRPr="00BE09D8" w:rsidRDefault="004672E3" w:rsidP="00AE5A25">
      <w:pPr>
        <w:spacing w:before="120" w:after="0"/>
        <w:ind w:right="585"/>
        <w:jc w:val="both"/>
        <w:rPr>
          <w:rFonts w:cs="Calibri"/>
        </w:rPr>
      </w:pPr>
    </w:p>
    <w:p w14:paraId="3E991A0F" w14:textId="77777777" w:rsidR="00AE5A25" w:rsidRPr="001D3222" w:rsidRDefault="00AE5A25" w:rsidP="00AE5A25">
      <w:pPr>
        <w:pStyle w:val="Prrafodelista"/>
        <w:numPr>
          <w:ilvl w:val="0"/>
          <w:numId w:val="11"/>
        </w:numPr>
        <w:shd w:val="clear" w:color="auto" w:fill="C6D9F1"/>
        <w:spacing w:before="120"/>
        <w:ind w:left="1843" w:hanging="1843"/>
        <w:jc w:val="both"/>
        <w:outlineLvl w:val="0"/>
        <w:rPr>
          <w:b/>
          <w:sz w:val="24"/>
          <w:szCs w:val="24"/>
        </w:rPr>
      </w:pPr>
      <w:bookmarkStart w:id="458" w:name="_Toc132511034"/>
      <w:r w:rsidRPr="001D3222">
        <w:rPr>
          <w:b/>
          <w:sz w:val="24"/>
          <w:szCs w:val="24"/>
        </w:rPr>
        <w:t>Non se inclúe unha adecuada avaliación do recurso eólico</w:t>
      </w:r>
      <w:bookmarkEnd w:id="455"/>
      <w:r w:rsidRPr="001D3222">
        <w:rPr>
          <w:b/>
          <w:sz w:val="24"/>
          <w:szCs w:val="24"/>
        </w:rPr>
        <w:t>.</w:t>
      </w:r>
      <w:bookmarkEnd w:id="456"/>
      <w:bookmarkEnd w:id="458"/>
    </w:p>
    <w:bookmarkEnd w:id="457"/>
    <w:p w14:paraId="1289793C" w14:textId="77777777" w:rsidR="00AE5A25" w:rsidRDefault="00AE5A25" w:rsidP="00AE5A25">
      <w:pPr>
        <w:spacing w:before="120" w:after="0"/>
        <w:ind w:right="585"/>
        <w:jc w:val="both"/>
        <w:rPr>
          <w:rFonts w:cs="Calibri"/>
          <w:sz w:val="24"/>
          <w:szCs w:val="24"/>
        </w:rPr>
      </w:pPr>
      <w:r>
        <w:rPr>
          <w:rFonts w:cs="Calibri"/>
          <w:sz w:val="24"/>
          <w:szCs w:val="24"/>
        </w:rPr>
        <w:t>Na valoración do recurso eólico non se presenta ninguna conclusión polo que non é posible coñecer se o recurso eólico garante a viabilidade do PE.</w:t>
      </w:r>
    </w:p>
    <w:p w14:paraId="0E688ED9" w14:textId="77777777" w:rsidR="004672E3" w:rsidRPr="00D7345C" w:rsidRDefault="004672E3" w:rsidP="00AE5A25">
      <w:pPr>
        <w:spacing w:before="120" w:after="0"/>
        <w:ind w:right="585"/>
        <w:jc w:val="both"/>
        <w:rPr>
          <w:rFonts w:cs="Calibri"/>
          <w:i/>
          <w:sz w:val="24"/>
          <w:szCs w:val="24"/>
        </w:rPr>
      </w:pPr>
    </w:p>
    <w:p w14:paraId="3EFCA6B9" w14:textId="77777777" w:rsidR="00AE5A25" w:rsidRPr="001D3222" w:rsidRDefault="00AE5A25" w:rsidP="00AE5A25">
      <w:pPr>
        <w:pStyle w:val="Prrafodelista"/>
        <w:numPr>
          <w:ilvl w:val="0"/>
          <w:numId w:val="11"/>
        </w:numPr>
        <w:shd w:val="clear" w:color="auto" w:fill="C6D9F1"/>
        <w:spacing w:before="120"/>
        <w:ind w:left="1843" w:hanging="1843"/>
        <w:jc w:val="both"/>
        <w:outlineLvl w:val="0"/>
        <w:rPr>
          <w:b/>
          <w:sz w:val="24"/>
          <w:szCs w:val="24"/>
        </w:rPr>
      </w:pPr>
      <w:bookmarkStart w:id="459" w:name="_Hlk87742888"/>
      <w:bookmarkStart w:id="460" w:name="_Toc88004939"/>
      <w:bookmarkStart w:id="461" w:name="_Toc132511035"/>
      <w:r w:rsidRPr="001D3222">
        <w:rPr>
          <w:b/>
          <w:sz w:val="24"/>
          <w:szCs w:val="24"/>
        </w:rPr>
        <w:lastRenderedPageBreak/>
        <w:t>Debe aplicarse o DECRETO 455/1996, de 7 de novembro, de fianzas en materia ambiental</w:t>
      </w:r>
      <w:bookmarkEnd w:id="459"/>
      <w:r w:rsidRPr="001D3222">
        <w:rPr>
          <w:b/>
          <w:sz w:val="24"/>
          <w:szCs w:val="24"/>
        </w:rPr>
        <w:t>.</w:t>
      </w:r>
      <w:bookmarkEnd w:id="460"/>
      <w:bookmarkEnd w:id="461"/>
    </w:p>
    <w:p w14:paraId="7D94DC52" w14:textId="77777777" w:rsidR="00AE5A25" w:rsidRPr="00501ECF" w:rsidRDefault="00AE5A25" w:rsidP="00AE5A25">
      <w:pPr>
        <w:spacing w:before="120" w:after="0"/>
        <w:jc w:val="both"/>
        <w:rPr>
          <w:rFonts w:cs="Calibri"/>
          <w:sz w:val="24"/>
          <w:szCs w:val="24"/>
        </w:rPr>
      </w:pPr>
      <w:r w:rsidRPr="00501ECF">
        <w:rPr>
          <w:rFonts w:cs="Calibri"/>
          <w:sz w:val="24"/>
          <w:szCs w:val="24"/>
        </w:rPr>
        <w:t xml:space="preserve">Da deficiente avaliación de efectos que presenta o EsIA do PE </w:t>
      </w:r>
      <w:r>
        <w:rPr>
          <w:rFonts w:cs="Calibri"/>
          <w:sz w:val="24"/>
          <w:szCs w:val="24"/>
        </w:rPr>
        <w:t>Torroña I</w:t>
      </w:r>
      <w:r w:rsidRPr="00501ECF">
        <w:rPr>
          <w:rFonts w:cs="Calibri"/>
          <w:sz w:val="24"/>
          <w:szCs w:val="24"/>
        </w:rPr>
        <w:t xml:space="preserve">, é previsible que se produzan diversos efectos </w:t>
      </w:r>
      <w:r w:rsidRPr="00501ECF">
        <w:rPr>
          <w:rFonts w:cs="Calibri"/>
          <w:b/>
          <w:bCs/>
          <w:sz w:val="24"/>
          <w:szCs w:val="24"/>
        </w:rPr>
        <w:t>MOI SEVEROS</w:t>
      </w:r>
      <w:r w:rsidRPr="00501ECF">
        <w:rPr>
          <w:rFonts w:cs="Calibri"/>
          <w:sz w:val="24"/>
          <w:szCs w:val="24"/>
        </w:rPr>
        <w:t xml:space="preserve"> que poderán e deberán avaliarse en termos económicos tanto directos como indirectos. Polo tanto, deberá artellarse un mecanismo que garanta a paliación tanto destes efectos económicos como dos procesos de restauración e mitigación derivados da implantación do PE. Procede, polo tanto, ter en conta a correcta aplicación do DECRETO 455/1996, de fianzas en materia ambiental establecido ó abeiro da Lei 1/1995 de protección ambiental de Galicia.</w:t>
      </w:r>
    </w:p>
    <w:p w14:paraId="52D5432E" w14:textId="77777777" w:rsidR="00AE5A25" w:rsidRPr="00D43D91" w:rsidRDefault="00AE5A25" w:rsidP="00AE5A25">
      <w:pPr>
        <w:spacing w:before="120" w:after="0"/>
        <w:ind w:left="567" w:right="851"/>
        <w:jc w:val="both"/>
        <w:rPr>
          <w:rFonts w:cs="Calibri"/>
          <w:i/>
          <w:iCs/>
        </w:rPr>
      </w:pPr>
      <w:r w:rsidRPr="00D43D91">
        <w:rPr>
          <w:rFonts w:cs="Calibri"/>
          <w:i/>
          <w:iCs/>
        </w:rPr>
        <w:t>Artigo 1</w:t>
      </w:r>
    </w:p>
    <w:p w14:paraId="5A7F0C42" w14:textId="77777777" w:rsidR="00AE5A25" w:rsidRPr="00D43D91" w:rsidRDefault="00AE5A25" w:rsidP="00AE5A25">
      <w:pPr>
        <w:spacing w:before="120" w:after="0"/>
        <w:ind w:left="567" w:right="851"/>
        <w:jc w:val="both"/>
        <w:rPr>
          <w:rFonts w:cs="Calibri"/>
          <w:i/>
          <w:iCs/>
        </w:rPr>
      </w:pPr>
      <w:r w:rsidRPr="00D43D91">
        <w:rPr>
          <w:rFonts w:cs="Calibri"/>
          <w:i/>
          <w:iCs/>
        </w:rPr>
        <w:t xml:space="preserve">El órgano administrativo competente para el otorgamiento de una autorización de proyectos, obras y actividades que fuesen susceptibles de afectar al medio ambiente, en los términos de la Ley 1/1995, de 2 de enero de, protección ambiental de Galicia, cuando en dicha autorización se impongan medidas correctoras, </w:t>
      </w:r>
      <w:r w:rsidRPr="00D43D91">
        <w:rPr>
          <w:rFonts w:cs="Calibri"/>
          <w:b/>
          <w:bCs/>
          <w:i/>
          <w:iCs/>
        </w:rPr>
        <w:t>podrá exigir la constitución de una garantía personal</w:t>
      </w:r>
      <w:r w:rsidRPr="00D43D91">
        <w:rPr>
          <w:rFonts w:cs="Calibri"/>
          <w:i/>
          <w:iCs/>
        </w:rPr>
        <w:t xml:space="preserve"> mediante aval que garantice, suficientemente, el cumplimiento de éstas y la reparación de los posibles daños y el coste de la restauración.</w:t>
      </w:r>
    </w:p>
    <w:p w14:paraId="570623EE" w14:textId="77777777" w:rsidR="00AE5A25" w:rsidRPr="00D43D91" w:rsidRDefault="00AE5A25" w:rsidP="00AE5A25">
      <w:pPr>
        <w:spacing w:before="120" w:after="0"/>
        <w:ind w:left="567" w:right="851"/>
        <w:jc w:val="both"/>
        <w:rPr>
          <w:rFonts w:cs="Calibri"/>
          <w:i/>
          <w:iCs/>
        </w:rPr>
      </w:pPr>
      <w:r w:rsidRPr="00D43D91">
        <w:rPr>
          <w:rFonts w:cs="Calibri"/>
          <w:i/>
          <w:iCs/>
        </w:rPr>
        <w:t xml:space="preserve">La constitución del aval, a plena satisfacción del órgano administrativo requiriente, </w:t>
      </w:r>
      <w:r w:rsidRPr="00D43D91">
        <w:rPr>
          <w:rFonts w:cs="Calibri"/>
          <w:b/>
          <w:bCs/>
          <w:i/>
          <w:iCs/>
        </w:rPr>
        <w:t>será condición previa para el ejercicio de la actividad o inicio de los trabajos</w:t>
      </w:r>
      <w:r w:rsidRPr="00D43D91">
        <w:rPr>
          <w:rFonts w:cs="Calibri"/>
          <w:i/>
          <w:iCs/>
        </w:rPr>
        <w:t xml:space="preserve"> a que se refiera la autorización.</w:t>
      </w:r>
    </w:p>
    <w:p w14:paraId="219D4724" w14:textId="77777777" w:rsidR="00AE5A25" w:rsidRPr="00D43D91" w:rsidRDefault="00AE5A25" w:rsidP="00AE5A25">
      <w:pPr>
        <w:spacing w:before="120" w:after="0"/>
        <w:ind w:left="567" w:right="851"/>
        <w:jc w:val="both"/>
        <w:rPr>
          <w:rFonts w:cs="Calibri"/>
          <w:i/>
          <w:iCs/>
        </w:rPr>
      </w:pPr>
      <w:r w:rsidRPr="00D43D91">
        <w:rPr>
          <w:rFonts w:cs="Calibri"/>
          <w:i/>
          <w:iCs/>
        </w:rPr>
        <w:t>Artigo 2</w:t>
      </w:r>
    </w:p>
    <w:p w14:paraId="29BEF636" w14:textId="77777777" w:rsidR="00AE5A25" w:rsidRPr="00D43D91" w:rsidRDefault="00AE5A25" w:rsidP="00AE5A25">
      <w:pPr>
        <w:spacing w:before="120" w:after="0"/>
        <w:ind w:left="567" w:right="851"/>
        <w:jc w:val="both"/>
        <w:rPr>
          <w:rFonts w:cs="Calibri"/>
          <w:i/>
          <w:iCs/>
        </w:rPr>
      </w:pPr>
      <w:r w:rsidRPr="00D43D91">
        <w:rPr>
          <w:rFonts w:cs="Calibri"/>
          <w:i/>
          <w:iCs/>
        </w:rPr>
        <w:t xml:space="preserve">En todo caso, el importe del aval se fijará en una </w:t>
      </w:r>
      <w:r w:rsidRPr="00D43D91">
        <w:rPr>
          <w:rFonts w:cs="Calibri"/>
          <w:b/>
          <w:bCs/>
          <w:i/>
          <w:iCs/>
        </w:rPr>
        <w:t>cuantía suficiente para responder de la reparación de los posibles daños que se puedan causar al medio ambiente y de su coste de restauración</w:t>
      </w:r>
      <w:r w:rsidRPr="00D43D91">
        <w:rPr>
          <w:rFonts w:cs="Calibri"/>
          <w:i/>
          <w:iCs/>
        </w:rPr>
        <w:t>. Asimismo, el aval debe garantizar el cumplimiento de las medidas correctoras si no estuviesen éstas avaladas por separado.</w:t>
      </w:r>
    </w:p>
    <w:p w14:paraId="1DF8500F" w14:textId="77777777" w:rsidR="00AE5A25" w:rsidRPr="00D43D91" w:rsidRDefault="00AE5A25" w:rsidP="00AE5A25">
      <w:pPr>
        <w:spacing w:before="120" w:after="0"/>
        <w:ind w:left="567" w:right="851"/>
        <w:jc w:val="both"/>
        <w:rPr>
          <w:rFonts w:cs="Calibri"/>
          <w:i/>
          <w:iCs/>
        </w:rPr>
      </w:pPr>
      <w:r w:rsidRPr="00D43D91">
        <w:rPr>
          <w:rFonts w:cs="Calibri"/>
          <w:i/>
          <w:iCs/>
        </w:rPr>
        <w:t>Artigo 7</w:t>
      </w:r>
    </w:p>
    <w:p w14:paraId="5A240C24" w14:textId="77777777" w:rsidR="00AE5A25" w:rsidRDefault="00AE5A25" w:rsidP="00AE5A25">
      <w:pPr>
        <w:spacing w:before="120" w:after="0"/>
        <w:ind w:left="567" w:right="851"/>
        <w:jc w:val="both"/>
        <w:rPr>
          <w:rFonts w:cs="Calibri"/>
          <w:i/>
          <w:iCs/>
        </w:rPr>
      </w:pPr>
      <w:r w:rsidRPr="00D43D91">
        <w:rPr>
          <w:rFonts w:cs="Calibri"/>
          <w:i/>
          <w:iCs/>
        </w:rPr>
        <w:t>El órgano administrativo que exigiese la constitución de la fianza podrá proceder, a iniciativa propia o a propuesta del órgano ambiental, a la ejecución de los avales al primer requerimiento, para el caso de que el interesado incumpliese la obligación de adoptar las medidas correctoras, la reparación de daños en el medio ambiente o su restauración, tras haber sido requerido para esto, a fin de efectuar con cargo a aquélla, directamente, las actuaciones pertinentes. La ejecución se acomodará a lo dispuesto en el artículo 19 de la Ley 14/1992, de régimen financiero y presupuestario de la Xunta de Galicia.</w:t>
      </w:r>
    </w:p>
    <w:p w14:paraId="33F29FDD" w14:textId="77777777" w:rsidR="00AE5A25" w:rsidRPr="004B0AF4" w:rsidRDefault="00AE5A25" w:rsidP="00AE5A25">
      <w:pPr>
        <w:pBdr>
          <w:top w:val="single" w:sz="4" w:space="1" w:color="auto"/>
          <w:left w:val="single" w:sz="4" w:space="4" w:color="auto"/>
          <w:bottom w:val="single" w:sz="4" w:space="1" w:color="auto"/>
          <w:right w:val="single" w:sz="4" w:space="4" w:color="auto"/>
        </w:pBdr>
        <w:spacing w:before="120" w:after="0"/>
        <w:jc w:val="both"/>
        <w:rPr>
          <w:rFonts w:cs="Calibri"/>
          <w:sz w:val="24"/>
          <w:szCs w:val="24"/>
        </w:rPr>
      </w:pPr>
      <w:r w:rsidRPr="004B0AF4">
        <w:rPr>
          <w:rFonts w:cs="Calibri"/>
          <w:sz w:val="24"/>
          <w:szCs w:val="24"/>
        </w:rPr>
        <w:t>No prego de condicións xerais que figura no ptoxecto de execución non consta a obriga do promotor de constituir dita garantía persoal.</w:t>
      </w:r>
    </w:p>
    <w:p w14:paraId="5C3CC085" w14:textId="77777777" w:rsidR="004672E3" w:rsidRDefault="004672E3" w:rsidP="00AE5A25">
      <w:pPr>
        <w:spacing w:after="0" w:line="240" w:lineRule="auto"/>
        <w:ind w:right="-284"/>
        <w:jc w:val="both"/>
        <w:rPr>
          <w:rStyle w:val="Hipervnculo"/>
          <w:rFonts w:cstheme="minorHAnsi"/>
          <w:sz w:val="24"/>
          <w:szCs w:val="24"/>
        </w:rPr>
      </w:pPr>
    </w:p>
    <w:p w14:paraId="7EC6D528" w14:textId="77777777" w:rsidR="004672E3" w:rsidRDefault="004672E3" w:rsidP="00AE5A25">
      <w:pPr>
        <w:spacing w:after="0" w:line="240" w:lineRule="auto"/>
        <w:ind w:right="-284"/>
        <w:jc w:val="both"/>
        <w:rPr>
          <w:rStyle w:val="Hipervnculo"/>
          <w:rFonts w:cstheme="minorHAnsi"/>
          <w:sz w:val="24"/>
          <w:szCs w:val="24"/>
        </w:rPr>
      </w:pPr>
    </w:p>
    <w:p w14:paraId="4370CFDA" w14:textId="77777777" w:rsidR="004672E3" w:rsidRPr="001D3222" w:rsidRDefault="004672E3" w:rsidP="004672E3">
      <w:pPr>
        <w:pStyle w:val="Prrafodelista"/>
        <w:numPr>
          <w:ilvl w:val="0"/>
          <w:numId w:val="11"/>
        </w:numPr>
        <w:shd w:val="clear" w:color="auto" w:fill="C6D9F1"/>
        <w:spacing w:before="120"/>
        <w:ind w:left="1843" w:hanging="1843"/>
        <w:jc w:val="both"/>
        <w:outlineLvl w:val="0"/>
        <w:rPr>
          <w:b/>
          <w:sz w:val="24"/>
          <w:szCs w:val="24"/>
        </w:rPr>
      </w:pPr>
      <w:bookmarkStart w:id="462" w:name="_Toc132511036"/>
      <w:r>
        <w:rPr>
          <w:b/>
          <w:sz w:val="24"/>
          <w:szCs w:val="24"/>
        </w:rPr>
        <w:t xml:space="preserve">Vulneración da Lei 21/2013 de avaliación ambiental. </w:t>
      </w:r>
      <w:r w:rsidRPr="001D3222">
        <w:rPr>
          <w:b/>
          <w:sz w:val="24"/>
          <w:szCs w:val="24"/>
        </w:rPr>
        <w:t>.</w:t>
      </w:r>
      <w:bookmarkEnd w:id="462"/>
    </w:p>
    <w:p w14:paraId="59E2BDBA" w14:textId="0321810C" w:rsidR="004672E3" w:rsidRDefault="004672E3" w:rsidP="004672E3">
      <w:pPr>
        <w:spacing w:before="120"/>
        <w:rPr>
          <w:rFonts w:cs="Calibri"/>
          <w:sz w:val="24"/>
          <w:szCs w:val="24"/>
        </w:rPr>
      </w:pPr>
      <w:r>
        <w:rPr>
          <w:rFonts w:cs="Calibri"/>
          <w:sz w:val="24"/>
          <w:szCs w:val="24"/>
        </w:rPr>
        <w:t>A Lei 62/2013 de avaliación de impacto ambiental no su artigo 35 establece que:</w:t>
      </w:r>
    </w:p>
    <w:p w14:paraId="6A95791C" w14:textId="77777777" w:rsidR="004672E3" w:rsidRPr="00CB0A45" w:rsidRDefault="004672E3" w:rsidP="004672E3">
      <w:pPr>
        <w:spacing w:before="120"/>
        <w:ind w:left="540" w:right="765"/>
        <w:jc w:val="both"/>
        <w:rPr>
          <w:rFonts w:cs="Calibri"/>
          <w:i/>
          <w:sz w:val="24"/>
          <w:szCs w:val="24"/>
        </w:rPr>
      </w:pPr>
      <w:r w:rsidRPr="00CB0A45">
        <w:rPr>
          <w:rFonts w:cs="Calibri"/>
          <w:i/>
          <w:sz w:val="24"/>
          <w:szCs w:val="24"/>
        </w:rPr>
        <w:lastRenderedPageBreak/>
        <w:t xml:space="preserve">c) Identificación, descripción, análisis y, si procede, cuantificación de los posibles efectos significativos directos o indirectos, secundarios, acumulativos y sinérgicos del proyecto sobre los siguientes factores: la población, la salud humana, la flora, la fauna, la biodiversidad, la </w:t>
      </w:r>
      <w:r w:rsidRPr="00CB0A45">
        <w:rPr>
          <w:rFonts w:cs="Calibri"/>
          <w:b/>
          <w:i/>
          <w:sz w:val="24"/>
          <w:szCs w:val="24"/>
        </w:rPr>
        <w:t>geodiversidad</w:t>
      </w:r>
      <w:r w:rsidRPr="00CB0A45">
        <w:rPr>
          <w:rFonts w:cs="Calibri"/>
          <w:i/>
          <w:sz w:val="24"/>
          <w:szCs w:val="24"/>
        </w:rPr>
        <w:t>…</w:t>
      </w:r>
    </w:p>
    <w:p w14:paraId="035420A2" w14:textId="77777777" w:rsidR="004672E3" w:rsidRPr="00D96CFC" w:rsidRDefault="004672E3" w:rsidP="004672E3">
      <w:pPr>
        <w:spacing w:after="0" w:line="240" w:lineRule="auto"/>
        <w:rPr>
          <w:rFonts w:cs="Calibri"/>
          <w:bCs/>
          <w:sz w:val="24"/>
          <w:szCs w:val="24"/>
        </w:rPr>
      </w:pPr>
      <w:r w:rsidRPr="00D96CFC">
        <w:rPr>
          <w:rFonts w:cs="Calibri"/>
          <w:bCs/>
          <w:sz w:val="24"/>
          <w:szCs w:val="24"/>
        </w:rPr>
        <w:t>Non se avalían os efectos director ou indirectos sobre a xeodiversidade.</w:t>
      </w:r>
    </w:p>
    <w:p w14:paraId="4D74AB30" w14:textId="77777777" w:rsidR="004672E3" w:rsidRDefault="004672E3" w:rsidP="004672E3">
      <w:pPr>
        <w:spacing w:before="120" w:after="0" w:line="240" w:lineRule="auto"/>
        <w:jc w:val="both"/>
        <w:rPr>
          <w:rFonts w:cs="Calibri"/>
          <w:bCs/>
          <w:sz w:val="24"/>
          <w:szCs w:val="24"/>
        </w:rPr>
      </w:pPr>
      <w:r>
        <w:rPr>
          <w:rFonts w:cs="Calibri"/>
          <w:bCs/>
          <w:sz w:val="24"/>
          <w:szCs w:val="24"/>
        </w:rPr>
        <w:t xml:space="preserve">A Serra de Argalo (Monte Lousado) onde se ubican os aeroxeradores T-4 a T-10 sitúase sobre a banda metasdimentarioa denominada Monteferro-O Rosal, unha zona de gran interés pola súa xeodiversidade. </w:t>
      </w:r>
      <w:r w:rsidRPr="00D96CFC">
        <w:rPr>
          <w:rFonts w:cs="Calibri"/>
          <w:bCs/>
          <w:sz w:val="24"/>
          <w:szCs w:val="24"/>
        </w:rPr>
        <w:t>Correspondente ó sector occidental das follas do M.T.N. a escala 1:50.000 Nº 261 (Tuy) e Nº 299 (Tomiño) e situado na zona máis interna da Cadea Varisca</w:t>
      </w:r>
      <w:r>
        <w:rPr>
          <w:rFonts w:cs="Calibri"/>
          <w:bCs/>
          <w:sz w:val="24"/>
          <w:szCs w:val="24"/>
        </w:rPr>
        <w:t>.</w:t>
      </w:r>
      <w:r w:rsidRPr="00D96CFC">
        <w:rPr>
          <w:rFonts w:cs="Calibri"/>
          <w:bCs/>
          <w:sz w:val="24"/>
          <w:szCs w:val="24"/>
        </w:rPr>
        <w:t xml:space="preserve"> Según a clasificación de Farias et al. (1987), esta área pertencería ó Dominio Xistoso de Galicia-Tras-os-Montes, a cal foi interpretada como unha gran unidade alóctona cabalgante sobre o resto da Zona Centro-Ibérica (Toyos, 2003).</w:t>
      </w:r>
      <w:r>
        <w:rPr>
          <w:rFonts w:cs="Calibri"/>
          <w:bCs/>
          <w:sz w:val="24"/>
          <w:szCs w:val="24"/>
        </w:rPr>
        <w:t xml:space="preserve"> A estruturas xeolóxicas presentes nesta área permiten o estudo da orixe xeolóxica da zona suroccidental e Galicia durante a oroxenia Varisca con litoloxías que abranguen dende o Cambrico ó Devónico, 300 millóns de anos danosa historia contida nestas rochas.</w:t>
      </w:r>
    </w:p>
    <w:p w14:paraId="0FD81D18" w14:textId="77777777" w:rsidR="004672E3" w:rsidRDefault="004672E3" w:rsidP="004672E3">
      <w:pPr>
        <w:spacing w:before="120" w:after="0" w:line="240" w:lineRule="auto"/>
        <w:jc w:val="both"/>
        <w:rPr>
          <w:rFonts w:cs="Calibri"/>
          <w:bCs/>
          <w:sz w:val="24"/>
          <w:szCs w:val="24"/>
        </w:rPr>
      </w:pPr>
      <w:r>
        <w:rPr>
          <w:rFonts w:cs="Calibri"/>
          <w:bCs/>
          <w:sz w:val="24"/>
          <w:szCs w:val="24"/>
        </w:rPr>
        <w:t>Por outra banda, a orixe deste tipo de rochas metasedimentarias permitíu a formación de numerosos xacementos minerais de interés mineiro ó longo da historia. Na zona de implantación do PE Torroña I son abundantes as minas romanas de ouro ou as minas de wolframio, das que quedan hoxe vestixios da súa existencia (algunhas delas sinalizadas) e sobre as que non se avalía o efecto da construcción do PE.</w:t>
      </w:r>
    </w:p>
    <w:p w14:paraId="70E0E53A" w14:textId="77777777" w:rsidR="004672E3" w:rsidRPr="00D96CFC" w:rsidRDefault="004672E3" w:rsidP="004672E3">
      <w:pPr>
        <w:spacing w:before="120" w:after="0" w:line="240" w:lineRule="auto"/>
        <w:jc w:val="both"/>
        <w:rPr>
          <w:rFonts w:cs="Calibri"/>
          <w:bCs/>
          <w:sz w:val="24"/>
          <w:szCs w:val="24"/>
        </w:rPr>
      </w:pPr>
      <w:r>
        <w:rPr>
          <w:rFonts w:cs="Calibri"/>
          <w:bCs/>
          <w:sz w:val="24"/>
          <w:szCs w:val="24"/>
        </w:rPr>
        <w:t>A remoción de terras, as superficies de explanación, a construcción de viais e acondicionamento dos que xa existen suporán un importante efecto sobre a xeodiversidade da zona.</w:t>
      </w:r>
    </w:p>
    <w:p w14:paraId="3760635B" w14:textId="13E7D07A" w:rsidR="00D62200" w:rsidRDefault="00D62200">
      <w:pPr>
        <w:spacing w:after="0" w:line="240" w:lineRule="auto"/>
        <w:rPr>
          <w:rStyle w:val="Hipervnculo"/>
          <w:rFonts w:cstheme="minorHAnsi"/>
          <w:sz w:val="24"/>
          <w:szCs w:val="24"/>
        </w:rPr>
      </w:pPr>
      <w:r>
        <w:rPr>
          <w:rStyle w:val="Hipervnculo"/>
          <w:rFonts w:cstheme="minorHAnsi"/>
          <w:sz w:val="24"/>
          <w:szCs w:val="24"/>
        </w:rPr>
        <w:br w:type="page"/>
      </w:r>
    </w:p>
    <w:p w14:paraId="7143D368" w14:textId="77777777" w:rsidR="00D62200" w:rsidRPr="007E4466" w:rsidRDefault="00D62200" w:rsidP="00D62200">
      <w:pPr>
        <w:ind w:right="424"/>
        <w:jc w:val="both"/>
        <w:rPr>
          <w:rFonts w:cstheme="minorHAnsi"/>
          <w:sz w:val="24"/>
          <w:szCs w:val="24"/>
        </w:rPr>
      </w:pPr>
      <w:r w:rsidRPr="007E4466">
        <w:rPr>
          <w:rFonts w:cstheme="minorHAnsi"/>
          <w:sz w:val="24"/>
          <w:szCs w:val="24"/>
        </w:rPr>
        <w:lastRenderedPageBreak/>
        <w:t>No tocante o aspecto de Avaliación dos impactos  arqueolóxicos na área de implantación dp Parque Eólico Torroña I, analizado a Memoria  II de Avaliación de Impacto Ambiental realizado pola empresa  GABINETE DE ARQUEOLOXÍA E XESTIÓN DO PATRIMONIO, dirixido pola técnica Mª Paz Blanco Sanmartín , facemos as seguintes alegacións:</w:t>
      </w:r>
    </w:p>
    <w:p w14:paraId="52123005" w14:textId="77777777" w:rsidR="00D62200" w:rsidRDefault="00D62200" w:rsidP="00D62200">
      <w:pPr>
        <w:ind w:right="424"/>
      </w:pPr>
    </w:p>
    <w:p w14:paraId="1EC91798" w14:textId="77777777" w:rsidR="00D62200" w:rsidRPr="00CB5DB4" w:rsidRDefault="00D62200" w:rsidP="00D62200">
      <w:pPr>
        <w:pStyle w:val="Default"/>
        <w:numPr>
          <w:ilvl w:val="0"/>
          <w:numId w:val="11"/>
        </w:numPr>
        <w:shd w:val="clear" w:color="auto" w:fill="C6D9F1"/>
        <w:spacing w:before="120"/>
        <w:ind w:left="1843" w:right="424" w:hanging="1843"/>
        <w:jc w:val="both"/>
        <w:outlineLvl w:val="0"/>
        <w:rPr>
          <w:rFonts w:ascii="Calibri" w:hAnsi="Calibri" w:cs="Calibri"/>
          <w:b/>
          <w:bCs/>
        </w:rPr>
      </w:pPr>
      <w:bookmarkStart w:id="463" w:name="_Toc132221808"/>
      <w:bookmarkStart w:id="464" w:name="_Toc132511037"/>
      <w:r>
        <w:rPr>
          <w:rFonts w:ascii="Calibri" w:hAnsi="Calibri" w:cs="Calibri"/>
          <w:b/>
          <w:bCs/>
        </w:rPr>
        <w:t>A avaliación negativa de dito proxecto, e polo tanto a non execución do mesmo.</w:t>
      </w:r>
      <w:bookmarkEnd w:id="463"/>
      <w:bookmarkEnd w:id="464"/>
    </w:p>
    <w:p w14:paraId="239AEBA7" w14:textId="77777777" w:rsidR="00D62200" w:rsidRDefault="00D62200" w:rsidP="00D62200">
      <w:pPr>
        <w:ind w:right="424"/>
      </w:pPr>
    </w:p>
    <w:p w14:paraId="094F1972" w14:textId="77777777" w:rsidR="00D62200" w:rsidRPr="007E4466" w:rsidRDefault="00D62200" w:rsidP="00D62200">
      <w:pPr>
        <w:ind w:right="424"/>
        <w:jc w:val="both"/>
        <w:rPr>
          <w:rFonts w:cstheme="minorHAnsi"/>
          <w:sz w:val="24"/>
          <w:szCs w:val="24"/>
        </w:rPr>
      </w:pPr>
      <w:r w:rsidRPr="007E4466">
        <w:rPr>
          <w:rFonts w:cstheme="minorHAnsi"/>
          <w:sz w:val="24"/>
          <w:szCs w:val="24"/>
        </w:rPr>
        <w:t xml:space="preserve">No apartado  </w:t>
      </w:r>
      <w:r w:rsidRPr="007E4466">
        <w:rPr>
          <w:rFonts w:cstheme="minorHAnsi"/>
          <w:b/>
          <w:bCs/>
          <w:sz w:val="24"/>
          <w:szCs w:val="24"/>
        </w:rPr>
        <w:t xml:space="preserve">8.4.20 Arqueología y patrimonio cultural, </w:t>
      </w:r>
      <w:r w:rsidRPr="007E4466">
        <w:rPr>
          <w:rFonts w:cstheme="minorHAnsi"/>
          <w:bCs/>
          <w:sz w:val="24"/>
          <w:szCs w:val="24"/>
        </w:rPr>
        <w:t xml:space="preserve"> ( páx. 131 EsIA), lese:</w:t>
      </w:r>
    </w:p>
    <w:p w14:paraId="3A8FF199" w14:textId="77777777" w:rsidR="00D62200" w:rsidRPr="007E4466" w:rsidRDefault="00D62200" w:rsidP="00D62200">
      <w:pPr>
        <w:autoSpaceDE w:val="0"/>
        <w:autoSpaceDN w:val="0"/>
        <w:adjustRightInd w:val="0"/>
        <w:spacing w:after="0" w:line="240" w:lineRule="auto"/>
        <w:ind w:left="708" w:right="424"/>
        <w:jc w:val="both"/>
        <w:rPr>
          <w:rFonts w:cstheme="minorHAnsi"/>
          <w:i/>
          <w:sz w:val="20"/>
          <w:szCs w:val="20"/>
        </w:rPr>
      </w:pPr>
      <w:r w:rsidRPr="007E4466">
        <w:rPr>
          <w:rFonts w:cstheme="minorHAnsi"/>
          <w:i/>
          <w:sz w:val="20"/>
          <w:szCs w:val="20"/>
        </w:rPr>
        <w:t>“Este subfactor ambiental aglutina los bienes materiales e inmateriales que configuran los valores culturales más notables del medio humano. Esta afección ambiental se caracteriza y valora de acuerdo con el Anexo H: Estudio Arqueológico.</w:t>
      </w:r>
    </w:p>
    <w:p w14:paraId="3F34437D" w14:textId="77777777" w:rsidR="00D62200" w:rsidRPr="007E4466" w:rsidRDefault="00D62200" w:rsidP="00D62200">
      <w:pPr>
        <w:autoSpaceDE w:val="0"/>
        <w:autoSpaceDN w:val="0"/>
        <w:adjustRightInd w:val="0"/>
        <w:spacing w:after="0" w:line="240" w:lineRule="auto"/>
        <w:ind w:left="708" w:right="424"/>
        <w:jc w:val="both"/>
        <w:rPr>
          <w:rFonts w:cstheme="minorHAnsi"/>
          <w:i/>
          <w:sz w:val="20"/>
          <w:szCs w:val="20"/>
        </w:rPr>
      </w:pPr>
    </w:p>
    <w:p w14:paraId="530DE222" w14:textId="77777777" w:rsidR="00D62200" w:rsidRPr="007E4466" w:rsidRDefault="00D62200" w:rsidP="00D62200">
      <w:pPr>
        <w:autoSpaceDE w:val="0"/>
        <w:autoSpaceDN w:val="0"/>
        <w:adjustRightInd w:val="0"/>
        <w:spacing w:after="0" w:line="240" w:lineRule="auto"/>
        <w:ind w:left="708" w:right="424"/>
        <w:jc w:val="both"/>
        <w:rPr>
          <w:rFonts w:cstheme="minorHAnsi"/>
          <w:i/>
          <w:sz w:val="20"/>
          <w:szCs w:val="20"/>
        </w:rPr>
      </w:pPr>
      <w:r w:rsidRPr="007E4466">
        <w:rPr>
          <w:rFonts w:cstheme="minorHAnsi"/>
          <w:i/>
          <w:sz w:val="20"/>
          <w:szCs w:val="20"/>
        </w:rPr>
        <w:t xml:space="preserve">Asumimos para realizar esta valoración </w:t>
      </w:r>
      <w:r w:rsidRPr="007E4466">
        <w:rPr>
          <w:rFonts w:cstheme="minorHAnsi"/>
          <w:i/>
          <w:sz w:val="20"/>
          <w:szCs w:val="20"/>
          <w:u w:val="single"/>
        </w:rPr>
        <w:t xml:space="preserve">que se harán todas las modificaciones necesarias </w:t>
      </w:r>
      <w:r w:rsidRPr="007E4466">
        <w:rPr>
          <w:rFonts w:cstheme="minorHAnsi"/>
          <w:i/>
          <w:sz w:val="20"/>
          <w:szCs w:val="20"/>
        </w:rPr>
        <w:t>en el proyecto de tal manera que se garantice la conservación de los elementos pertenecientes al patrimonio cultural descritos en dicho anexo. “</w:t>
      </w:r>
    </w:p>
    <w:p w14:paraId="56A91661" w14:textId="77777777" w:rsidR="00D62200" w:rsidRPr="007E4466" w:rsidRDefault="00D62200" w:rsidP="00D62200">
      <w:pPr>
        <w:autoSpaceDE w:val="0"/>
        <w:autoSpaceDN w:val="0"/>
        <w:adjustRightInd w:val="0"/>
        <w:spacing w:after="0" w:line="240" w:lineRule="auto"/>
        <w:ind w:right="424"/>
        <w:jc w:val="both"/>
        <w:rPr>
          <w:rFonts w:cstheme="minorHAnsi"/>
          <w:sz w:val="24"/>
          <w:szCs w:val="24"/>
        </w:rPr>
      </w:pPr>
    </w:p>
    <w:p w14:paraId="2FCC73E3" w14:textId="77777777" w:rsidR="00D62200" w:rsidRDefault="00D62200" w:rsidP="00D62200">
      <w:pPr>
        <w:autoSpaceDE w:val="0"/>
        <w:autoSpaceDN w:val="0"/>
        <w:adjustRightInd w:val="0"/>
        <w:spacing w:after="0" w:line="240" w:lineRule="auto"/>
        <w:ind w:right="424"/>
        <w:jc w:val="both"/>
        <w:rPr>
          <w:rFonts w:cstheme="minorHAnsi"/>
          <w:sz w:val="24"/>
          <w:szCs w:val="24"/>
        </w:rPr>
      </w:pPr>
      <w:r w:rsidRPr="007E4466">
        <w:rPr>
          <w:rFonts w:cstheme="minorHAnsi"/>
          <w:sz w:val="24"/>
          <w:szCs w:val="24"/>
        </w:rPr>
        <w:t xml:space="preserve">Visto todo o informe e as modificacións, que segundo o mesmo xa se fixeron sobre unha primeira proposta,  </w:t>
      </w:r>
      <w:r w:rsidRPr="00D14805">
        <w:rPr>
          <w:rFonts w:cstheme="minorHAnsi"/>
          <w:i/>
          <w:sz w:val="24"/>
          <w:szCs w:val="24"/>
        </w:rPr>
        <w:t>“Este documento é a segunda versión da avaliación de impacto patrimonial realizada sobre a zona de implantación do Parque Eólico Torroña I, nos concellos de Oia, Baiona e Tomiño, en Pontevedra”.(</w:t>
      </w:r>
      <w:r w:rsidRPr="007E4466">
        <w:rPr>
          <w:rFonts w:cstheme="minorHAnsi"/>
          <w:sz w:val="24"/>
          <w:szCs w:val="24"/>
        </w:rPr>
        <w:t>páx. 919 ESIA ), temos que considerar que:</w:t>
      </w:r>
    </w:p>
    <w:p w14:paraId="51868D7A" w14:textId="77777777" w:rsidR="00D62200" w:rsidRPr="007E4466" w:rsidRDefault="00D62200" w:rsidP="00D62200">
      <w:pPr>
        <w:autoSpaceDE w:val="0"/>
        <w:autoSpaceDN w:val="0"/>
        <w:adjustRightInd w:val="0"/>
        <w:spacing w:after="0" w:line="240" w:lineRule="auto"/>
        <w:ind w:right="424"/>
        <w:jc w:val="both"/>
        <w:rPr>
          <w:rFonts w:cstheme="minorHAnsi"/>
          <w:sz w:val="24"/>
          <w:szCs w:val="24"/>
        </w:rPr>
      </w:pPr>
    </w:p>
    <w:p w14:paraId="31EE5C22" w14:textId="77777777" w:rsidR="00D62200" w:rsidRDefault="00D62200" w:rsidP="00D62200">
      <w:pPr>
        <w:ind w:right="424"/>
        <w:jc w:val="both"/>
        <w:rPr>
          <w:rFonts w:cstheme="minorHAnsi"/>
          <w:sz w:val="24"/>
          <w:szCs w:val="24"/>
        </w:rPr>
      </w:pPr>
      <w:r w:rsidRPr="007E4466">
        <w:rPr>
          <w:rFonts w:cstheme="minorHAnsi"/>
          <w:sz w:val="24"/>
          <w:szCs w:val="24"/>
        </w:rPr>
        <w:t>Dadas as múltiples e graves afeccións ao patrimonio material e inmaterial reflexadas,  e as non reflexadas por non terse detectado en dito estudo</w:t>
      </w:r>
      <w:r>
        <w:rPr>
          <w:rFonts w:cstheme="minorHAnsi"/>
          <w:sz w:val="24"/>
          <w:szCs w:val="24"/>
        </w:rPr>
        <w:t>,</w:t>
      </w:r>
      <w:r w:rsidRPr="007E4466">
        <w:rPr>
          <w:rFonts w:cstheme="minorHAnsi"/>
          <w:sz w:val="24"/>
          <w:szCs w:val="24"/>
        </w:rPr>
        <w:t xml:space="preserve">  elementos patrimonias importantes  que se verían danados e incluso eliminados, e a suma delas en todo o proxecto, alterando a paisaxe arqueolóxica e etnográfica dun xeito irremediable,  consideramos  que a avalición debe ser negativa.</w:t>
      </w:r>
    </w:p>
    <w:p w14:paraId="205163E3" w14:textId="77777777" w:rsidR="00D62200" w:rsidRPr="007E4466" w:rsidRDefault="00D62200" w:rsidP="00D62200">
      <w:pPr>
        <w:ind w:right="424"/>
        <w:jc w:val="both"/>
        <w:rPr>
          <w:rFonts w:cstheme="minorHAnsi"/>
          <w:sz w:val="24"/>
          <w:szCs w:val="24"/>
        </w:rPr>
      </w:pPr>
    </w:p>
    <w:p w14:paraId="6D71C5A4" w14:textId="77777777" w:rsidR="00D62200" w:rsidRPr="00CB5DB4" w:rsidRDefault="00D62200" w:rsidP="00D62200">
      <w:pPr>
        <w:pStyle w:val="Default"/>
        <w:numPr>
          <w:ilvl w:val="0"/>
          <w:numId w:val="11"/>
        </w:numPr>
        <w:shd w:val="clear" w:color="auto" w:fill="C6D9F1"/>
        <w:spacing w:before="120"/>
        <w:ind w:left="1843" w:right="424" w:hanging="1843"/>
        <w:jc w:val="both"/>
        <w:outlineLvl w:val="0"/>
        <w:rPr>
          <w:rFonts w:ascii="Calibri" w:hAnsi="Calibri" w:cs="Calibri"/>
          <w:b/>
          <w:bCs/>
        </w:rPr>
      </w:pPr>
      <w:bookmarkStart w:id="465" w:name="_Toc132511038"/>
      <w:r>
        <w:rPr>
          <w:rFonts w:ascii="Calibri" w:hAnsi="Calibri" w:cs="Calibri"/>
          <w:b/>
          <w:bCs/>
        </w:rPr>
        <w:t>A afección grave as áreas de campeo das greas de garranos (</w:t>
      </w:r>
      <w:r>
        <w:rPr>
          <w:rFonts w:ascii="Calibri" w:hAnsi="Calibri" w:cs="Calibri"/>
          <w:b/>
          <w:bCs/>
          <w:i/>
        </w:rPr>
        <w:t>Equus ferus atlánticus)</w:t>
      </w:r>
      <w:r>
        <w:rPr>
          <w:rFonts w:ascii="Calibri" w:hAnsi="Calibri" w:cs="Calibri"/>
          <w:b/>
          <w:bCs/>
        </w:rPr>
        <w:t>, que entran no curro de Torroña e San Cibrán nos concellos de Oia e de Gondomar respectivamente.</w:t>
      </w:r>
      <w:bookmarkEnd w:id="465"/>
    </w:p>
    <w:p w14:paraId="40B81E0A" w14:textId="77777777" w:rsidR="00D62200" w:rsidRDefault="00D62200" w:rsidP="00D62200">
      <w:pPr>
        <w:ind w:left="1701" w:right="424" w:hanging="1701"/>
      </w:pPr>
    </w:p>
    <w:p w14:paraId="72652A0A" w14:textId="77777777" w:rsidR="00D62200" w:rsidRDefault="00D62200" w:rsidP="00D62200">
      <w:pPr>
        <w:ind w:right="424"/>
        <w:jc w:val="both"/>
        <w:rPr>
          <w:rFonts w:cstheme="minorHAnsi"/>
          <w:sz w:val="24"/>
          <w:szCs w:val="24"/>
        </w:rPr>
      </w:pPr>
      <w:r w:rsidRPr="001D3022">
        <w:rPr>
          <w:rFonts w:cstheme="minorHAnsi"/>
          <w:sz w:val="24"/>
          <w:szCs w:val="24"/>
        </w:rPr>
        <w:t xml:space="preserve">Os garranos ou burras da Groba, cabalos salvaxes de Galicia, </w:t>
      </w:r>
      <w:r w:rsidRPr="001D3022">
        <w:rPr>
          <w:rFonts w:cstheme="minorHAnsi"/>
          <w:b/>
          <w:i/>
          <w:sz w:val="24"/>
          <w:szCs w:val="24"/>
        </w:rPr>
        <w:t>Equus ferus atlanticus</w:t>
      </w:r>
      <w:r w:rsidRPr="001D3022">
        <w:rPr>
          <w:rFonts w:cstheme="minorHAnsi"/>
          <w:sz w:val="24"/>
          <w:szCs w:val="24"/>
        </w:rPr>
        <w:t xml:space="preserve">, son un relicto dos últimos cabalos salvaxes do mundo, a pesares das súas circunstancias especiais senlleiras de ter dono e ser controlados dúas veces ó ano na festa etnográfica de orixen arcaico dos Curros. </w:t>
      </w:r>
    </w:p>
    <w:p w14:paraId="2E0ABB9E" w14:textId="77777777" w:rsidR="00D62200" w:rsidRDefault="00D62200" w:rsidP="00D62200">
      <w:pPr>
        <w:ind w:right="424"/>
        <w:jc w:val="both"/>
        <w:rPr>
          <w:rFonts w:cstheme="minorHAnsi"/>
          <w:sz w:val="24"/>
          <w:szCs w:val="24"/>
        </w:rPr>
      </w:pPr>
      <w:r w:rsidRPr="001D3022">
        <w:rPr>
          <w:rFonts w:cstheme="minorHAnsi"/>
          <w:sz w:val="24"/>
          <w:szCs w:val="24"/>
        </w:rPr>
        <w:t xml:space="preserve">Os garranos son territoriais,  e nacen e morren en liberdade nun espazo no que habitan todo o ano. As áreas de  campeo dun número importante de greas de garranos da Groba está no que os paisanos chaman </w:t>
      </w:r>
      <w:r w:rsidRPr="001D3022">
        <w:rPr>
          <w:rFonts w:cstheme="minorHAnsi"/>
          <w:b/>
          <w:sz w:val="24"/>
          <w:szCs w:val="24"/>
        </w:rPr>
        <w:t>O Areeiro</w:t>
      </w:r>
      <w:r w:rsidRPr="001D3022">
        <w:rPr>
          <w:rFonts w:cstheme="minorHAnsi"/>
          <w:sz w:val="24"/>
          <w:szCs w:val="24"/>
        </w:rPr>
        <w:t xml:space="preserve">, </w:t>
      </w:r>
      <w:r w:rsidRPr="001D3022">
        <w:rPr>
          <w:rFonts w:cstheme="minorHAnsi"/>
          <w:b/>
          <w:sz w:val="24"/>
          <w:szCs w:val="24"/>
        </w:rPr>
        <w:t>Cerro das Aradelas</w:t>
      </w:r>
      <w:r w:rsidRPr="001D3022">
        <w:rPr>
          <w:rFonts w:cstheme="minorHAnsi"/>
          <w:sz w:val="24"/>
          <w:szCs w:val="24"/>
        </w:rPr>
        <w:t xml:space="preserve">,  </w:t>
      </w:r>
      <w:r w:rsidRPr="001D3022">
        <w:rPr>
          <w:rFonts w:cstheme="minorHAnsi"/>
          <w:b/>
          <w:sz w:val="24"/>
          <w:szCs w:val="24"/>
        </w:rPr>
        <w:t xml:space="preserve">A Cruz de Pao e Campo </w:t>
      </w:r>
      <w:r w:rsidRPr="001D3022">
        <w:rPr>
          <w:rFonts w:cstheme="minorHAnsi"/>
          <w:b/>
          <w:sz w:val="24"/>
          <w:szCs w:val="24"/>
        </w:rPr>
        <w:lastRenderedPageBreak/>
        <w:t>da Groba</w:t>
      </w:r>
      <w:r w:rsidRPr="001D3022">
        <w:rPr>
          <w:rFonts w:cstheme="minorHAnsi"/>
          <w:sz w:val="24"/>
          <w:szCs w:val="24"/>
        </w:rPr>
        <w:t xml:space="preserve">, ( ver toponimia oficial </w:t>
      </w:r>
      <w:hyperlink r:id="rId76" w:history="1">
        <w:r w:rsidRPr="001D3022">
          <w:rPr>
            <w:rStyle w:val="Hipervnculo"/>
            <w:rFonts w:cstheme="minorHAnsi"/>
            <w:sz w:val="24"/>
            <w:szCs w:val="24"/>
          </w:rPr>
          <w:t>páxina da Xunta de Galicia e RAG</w:t>
        </w:r>
      </w:hyperlink>
      <w:r>
        <w:rPr>
          <w:rStyle w:val="Refdenotaalpie"/>
          <w:rFonts w:cstheme="minorHAnsi"/>
          <w:sz w:val="24"/>
          <w:szCs w:val="24"/>
        </w:rPr>
        <w:footnoteReference w:id="63"/>
      </w:r>
      <w:r w:rsidRPr="001D3022">
        <w:rPr>
          <w:rFonts w:cstheme="minorHAnsi"/>
          <w:sz w:val="24"/>
          <w:szCs w:val="24"/>
        </w:rPr>
        <w:t xml:space="preserve">) e </w:t>
      </w:r>
      <w:r>
        <w:rPr>
          <w:rFonts w:cstheme="minorHAnsi"/>
          <w:sz w:val="24"/>
          <w:szCs w:val="24"/>
        </w:rPr>
        <w:t>re</w:t>
      </w:r>
      <w:r w:rsidRPr="001D3022">
        <w:rPr>
          <w:rFonts w:cstheme="minorHAnsi"/>
          <w:sz w:val="24"/>
          <w:szCs w:val="24"/>
        </w:rPr>
        <w:t>ferindose precisamente ó espazo que van ocupar as intervencións e obras do PE</w:t>
      </w:r>
      <w:r>
        <w:rPr>
          <w:rFonts w:cstheme="minorHAnsi"/>
          <w:sz w:val="24"/>
          <w:szCs w:val="24"/>
        </w:rPr>
        <w:t xml:space="preserve"> </w:t>
      </w:r>
      <w:r w:rsidRPr="001D3022">
        <w:rPr>
          <w:rFonts w:cstheme="minorHAnsi"/>
          <w:sz w:val="24"/>
          <w:szCs w:val="24"/>
        </w:rPr>
        <w:t>cos aeroxeradores 1,</w:t>
      </w:r>
      <w:r>
        <w:rPr>
          <w:rFonts w:cstheme="minorHAnsi"/>
          <w:sz w:val="24"/>
          <w:szCs w:val="24"/>
        </w:rPr>
        <w:t xml:space="preserve"> </w:t>
      </w:r>
      <w:r w:rsidRPr="001D3022">
        <w:rPr>
          <w:rFonts w:cstheme="minorHAnsi"/>
          <w:sz w:val="24"/>
          <w:szCs w:val="24"/>
        </w:rPr>
        <w:t>2, 3 e 4, non só coa ubicación dos aeroxeradores, se non os espazos e áreas de explanación, comunicación e evacuación, deturpando irrever</w:t>
      </w:r>
      <w:r>
        <w:rPr>
          <w:rFonts w:cstheme="minorHAnsi"/>
          <w:sz w:val="24"/>
          <w:szCs w:val="24"/>
        </w:rPr>
        <w:t>s</w:t>
      </w:r>
      <w:r w:rsidRPr="001D3022">
        <w:rPr>
          <w:rFonts w:cstheme="minorHAnsi"/>
          <w:sz w:val="24"/>
          <w:szCs w:val="24"/>
        </w:rPr>
        <w:t>iblemente as condicións naturais da zona, producindo desprazamentos dos animais para outras zonas que xa están ocupadas por outras greas, durante e despois das obras, co aumento da presión antrópica e o número de incidentes e accidentes na poboación de garranos na contorna.</w:t>
      </w:r>
    </w:p>
    <w:p w14:paraId="793766F8" w14:textId="77777777" w:rsidR="00D62200" w:rsidRDefault="00D62200" w:rsidP="00D62200">
      <w:pPr>
        <w:ind w:right="424"/>
      </w:pPr>
    </w:p>
    <w:p w14:paraId="5D7633F3" w14:textId="77777777" w:rsidR="00D62200" w:rsidRPr="00CB5DB4" w:rsidRDefault="00D62200" w:rsidP="00D62200">
      <w:pPr>
        <w:pStyle w:val="Default"/>
        <w:numPr>
          <w:ilvl w:val="0"/>
          <w:numId w:val="11"/>
        </w:numPr>
        <w:shd w:val="clear" w:color="auto" w:fill="C6D9F1"/>
        <w:spacing w:before="120"/>
        <w:ind w:right="424" w:hanging="1637"/>
        <w:jc w:val="both"/>
        <w:outlineLvl w:val="0"/>
        <w:rPr>
          <w:rFonts w:ascii="Calibri" w:hAnsi="Calibri" w:cs="Calibri"/>
          <w:b/>
          <w:bCs/>
        </w:rPr>
      </w:pPr>
      <w:bookmarkStart w:id="466" w:name="_Toc132511039"/>
      <w:r>
        <w:rPr>
          <w:rFonts w:ascii="Calibri" w:hAnsi="Calibri" w:cs="Calibri"/>
          <w:b/>
          <w:bCs/>
        </w:rPr>
        <w:t xml:space="preserve">Afección grave á área de patrimonio inmaterial </w:t>
      </w:r>
      <w:r w:rsidRPr="001D3022">
        <w:rPr>
          <w:rFonts w:ascii="Calibri" w:hAnsi="Calibri" w:cs="Calibri"/>
          <w:b/>
          <w:bCs/>
          <w:i/>
        </w:rPr>
        <w:t>Curro de Toroña.</w:t>
      </w:r>
      <w:bookmarkEnd w:id="466"/>
      <w:r>
        <w:rPr>
          <w:rFonts w:ascii="Calibri" w:hAnsi="Calibri" w:cs="Calibri"/>
          <w:b/>
          <w:bCs/>
        </w:rPr>
        <w:t xml:space="preserve"> </w:t>
      </w:r>
    </w:p>
    <w:p w14:paraId="4D5A03C2" w14:textId="77777777" w:rsidR="00D62200" w:rsidRDefault="00D62200" w:rsidP="00D62200">
      <w:pPr>
        <w:pStyle w:val="Prrafodelista"/>
        <w:ind w:left="0" w:right="424"/>
        <w:jc w:val="both"/>
        <w:rPr>
          <w:rFonts w:cstheme="minorHAnsi"/>
          <w:b/>
          <w:sz w:val="24"/>
          <w:szCs w:val="24"/>
        </w:rPr>
      </w:pPr>
    </w:p>
    <w:p w14:paraId="7FF9BEC1" w14:textId="77777777" w:rsidR="00D62200" w:rsidRDefault="00D62200" w:rsidP="00D62200">
      <w:pPr>
        <w:pStyle w:val="Prrafodelista"/>
        <w:ind w:left="0" w:right="424"/>
        <w:jc w:val="both"/>
        <w:rPr>
          <w:rFonts w:cstheme="minorHAnsi"/>
          <w:sz w:val="24"/>
          <w:szCs w:val="24"/>
        </w:rPr>
      </w:pPr>
      <w:r w:rsidRPr="00F247D7">
        <w:rPr>
          <w:rFonts w:cstheme="minorHAnsi"/>
          <w:b/>
          <w:sz w:val="24"/>
          <w:szCs w:val="24"/>
        </w:rPr>
        <w:t>O Curro é o espazo físico</w:t>
      </w:r>
      <w:r w:rsidRPr="00F247D7">
        <w:rPr>
          <w:rFonts w:cstheme="minorHAnsi"/>
          <w:sz w:val="24"/>
          <w:szCs w:val="24"/>
        </w:rPr>
        <w:t xml:space="preserve"> que ocupan os garranos que son recluídos dúas veces ó ano nun recinto pechado que está situado na parroquia de Burgueira  na aldea de Torroña, e que tamén recibe o nome de curro</w:t>
      </w:r>
      <w:r w:rsidRPr="00F247D7">
        <w:rPr>
          <w:rFonts w:cstheme="minorHAnsi"/>
          <w:b/>
          <w:sz w:val="24"/>
          <w:szCs w:val="24"/>
        </w:rPr>
        <w:t>. Curro tamén é a festa</w:t>
      </w:r>
      <w:r w:rsidRPr="00F247D7">
        <w:rPr>
          <w:rFonts w:cstheme="minorHAnsi"/>
          <w:sz w:val="24"/>
          <w:szCs w:val="24"/>
        </w:rPr>
        <w:t xml:space="preserve"> </w:t>
      </w:r>
      <w:r w:rsidRPr="00F247D7">
        <w:rPr>
          <w:rFonts w:cstheme="minorHAnsi"/>
          <w:b/>
          <w:sz w:val="24"/>
          <w:szCs w:val="24"/>
        </w:rPr>
        <w:t>etnográfica</w:t>
      </w:r>
      <w:r w:rsidRPr="00F247D7">
        <w:rPr>
          <w:rFonts w:cstheme="minorHAnsi"/>
          <w:sz w:val="24"/>
          <w:szCs w:val="24"/>
        </w:rPr>
        <w:t xml:space="preserve"> que suma os labores de xuntar os équidos cun cordon formado por homes e mulleres a pé e a cabalo, ata concentralos nun punto e dirixilos cara o recinto pechado onde se realizan os labores propios da rapa e desparasitación, troco e venda de animais e identificación e marcaxe.</w:t>
      </w:r>
    </w:p>
    <w:p w14:paraId="2B17F337" w14:textId="77777777" w:rsidR="00D62200" w:rsidRPr="00F247D7" w:rsidRDefault="00D62200" w:rsidP="00D62200">
      <w:pPr>
        <w:pStyle w:val="Prrafodelista"/>
        <w:ind w:left="0" w:right="424"/>
        <w:jc w:val="both"/>
        <w:rPr>
          <w:rFonts w:cstheme="minorHAnsi"/>
          <w:sz w:val="24"/>
          <w:szCs w:val="24"/>
        </w:rPr>
      </w:pPr>
    </w:p>
    <w:p w14:paraId="50DA5D9F" w14:textId="77777777" w:rsidR="00D62200" w:rsidRDefault="00D62200" w:rsidP="00D62200">
      <w:pPr>
        <w:pStyle w:val="Prrafodelista"/>
        <w:ind w:left="0" w:right="424"/>
        <w:jc w:val="both"/>
        <w:rPr>
          <w:rFonts w:cstheme="minorHAnsi"/>
          <w:sz w:val="24"/>
          <w:szCs w:val="24"/>
        </w:rPr>
      </w:pPr>
      <w:r w:rsidRPr="00F247D7">
        <w:rPr>
          <w:rFonts w:cstheme="minorHAnsi"/>
          <w:sz w:val="24"/>
          <w:szCs w:val="24"/>
        </w:rPr>
        <w:t>Cada curro ten o seu espazo físico no que campean dende que nacen ata que morren os garranos ou burras do monte, animais territoriais que ocupan o espazo segundo pautas etolóxicas propias, e que perante centos ou milleiros de anos, foro</w:t>
      </w:r>
      <w:r>
        <w:rPr>
          <w:rFonts w:cstheme="minorHAnsi"/>
          <w:sz w:val="24"/>
          <w:szCs w:val="24"/>
        </w:rPr>
        <w:t>n conservadas nun  legado de pai</w:t>
      </w:r>
      <w:r w:rsidRPr="00F247D7">
        <w:rPr>
          <w:rFonts w:cstheme="minorHAnsi"/>
          <w:sz w:val="24"/>
          <w:szCs w:val="24"/>
        </w:rPr>
        <w:t xml:space="preserve">s a fillos, constituíndo un patrimonio etnográfico e cultural senlleiro. </w:t>
      </w:r>
    </w:p>
    <w:p w14:paraId="64467207" w14:textId="77777777" w:rsidR="00D62200" w:rsidRDefault="00D62200" w:rsidP="00D62200">
      <w:pPr>
        <w:pStyle w:val="Prrafodelista"/>
        <w:ind w:left="0" w:right="424"/>
        <w:jc w:val="both"/>
        <w:rPr>
          <w:rFonts w:cstheme="minorHAnsi"/>
          <w:sz w:val="24"/>
          <w:szCs w:val="24"/>
        </w:rPr>
      </w:pPr>
    </w:p>
    <w:p w14:paraId="7D916B81" w14:textId="77777777" w:rsidR="00D62200" w:rsidRDefault="00D62200" w:rsidP="00D62200">
      <w:pPr>
        <w:pStyle w:val="Prrafodelista"/>
        <w:ind w:left="0" w:right="424"/>
        <w:jc w:val="both"/>
        <w:rPr>
          <w:rFonts w:cstheme="minorHAnsi"/>
          <w:sz w:val="24"/>
          <w:szCs w:val="24"/>
        </w:rPr>
      </w:pPr>
      <w:r w:rsidRPr="00F247D7">
        <w:rPr>
          <w:rFonts w:cstheme="minorHAnsi"/>
          <w:sz w:val="24"/>
          <w:szCs w:val="24"/>
        </w:rPr>
        <w:t>As mudanzas nos territorios de campeo e a presión antrópica constitúen unha das maiores amezas par a pervivencia destes animais en liberdade, e consecuentemente o seu valor etnográfico e cultural, que corre o risco de desaparecer. Nesta zona en concreto da Serra da Groba, onde se pretende construír este PE e outros que se mencionan neste mesmo documento, e cos cales se pretende compartir infraestructuras, veríanse modificadas as áreas de campeo das greas e desprazaríanse cara outras áreas onde xa hai outras, co que os  movementos indesexados de grupos familiares de garranos aumentarían incrementándose os accidentes e incidentes,</w:t>
      </w:r>
      <w:r>
        <w:rPr>
          <w:rFonts w:cstheme="minorHAnsi"/>
          <w:sz w:val="24"/>
          <w:szCs w:val="24"/>
        </w:rPr>
        <w:t xml:space="preserve"> </w:t>
      </w:r>
      <w:r w:rsidRPr="00F247D7">
        <w:rPr>
          <w:rFonts w:cstheme="minorHAnsi"/>
          <w:sz w:val="24"/>
          <w:szCs w:val="24"/>
        </w:rPr>
        <w:t>e a presión sobre as zonas habitadas onde  crearían desperfectos en cultivos e propiedades privadas.</w:t>
      </w:r>
    </w:p>
    <w:p w14:paraId="4ED62275" w14:textId="77777777" w:rsidR="00D62200" w:rsidRPr="00F247D7" w:rsidRDefault="00D62200" w:rsidP="00D62200">
      <w:pPr>
        <w:pStyle w:val="Prrafodelista"/>
        <w:ind w:left="0" w:right="424"/>
        <w:jc w:val="both"/>
        <w:rPr>
          <w:rFonts w:cstheme="minorHAnsi"/>
          <w:sz w:val="24"/>
          <w:szCs w:val="24"/>
        </w:rPr>
      </w:pPr>
    </w:p>
    <w:p w14:paraId="07F4C03E" w14:textId="77777777" w:rsidR="00D62200" w:rsidRPr="00F247D7" w:rsidRDefault="00D62200" w:rsidP="00D62200">
      <w:pPr>
        <w:pStyle w:val="Prrafodelista"/>
        <w:ind w:left="0" w:right="424"/>
        <w:jc w:val="both"/>
        <w:rPr>
          <w:rFonts w:cstheme="minorHAnsi"/>
          <w:sz w:val="24"/>
          <w:szCs w:val="24"/>
        </w:rPr>
      </w:pPr>
      <w:r w:rsidRPr="00F247D7">
        <w:rPr>
          <w:rFonts w:cstheme="minorHAnsi"/>
          <w:sz w:val="24"/>
          <w:szCs w:val="24"/>
        </w:rPr>
        <w:t>Estas observacións que manifestamos non son especulacións sobre futuribles, son constatacións feitas ao longo de anos de estudo sobre as poboacións dos garranos da Groba e os seus curros,  e que teñen neste intre un feble equilibrio sobre a presión antrópica e a súa supervivencia, dadas as moita</w:t>
      </w:r>
      <w:r>
        <w:rPr>
          <w:rFonts w:cstheme="minorHAnsi"/>
          <w:sz w:val="24"/>
          <w:szCs w:val="24"/>
        </w:rPr>
        <w:t>s</w:t>
      </w:r>
      <w:r w:rsidRPr="00F247D7">
        <w:rPr>
          <w:rFonts w:cstheme="minorHAnsi"/>
          <w:sz w:val="24"/>
          <w:szCs w:val="24"/>
        </w:rPr>
        <w:t xml:space="preserve"> mudanzas que se queren impór nos seus territorios de hábitat. A construcción deste PE en concreto, racharía ese feble equilibrio, e deixaría en precario a p</w:t>
      </w:r>
      <w:r>
        <w:rPr>
          <w:rFonts w:cstheme="minorHAnsi"/>
          <w:sz w:val="24"/>
          <w:szCs w:val="24"/>
        </w:rPr>
        <w:t>e</w:t>
      </w:r>
      <w:r w:rsidRPr="00F247D7">
        <w:rPr>
          <w:rFonts w:cstheme="minorHAnsi"/>
          <w:sz w:val="24"/>
          <w:szCs w:val="24"/>
        </w:rPr>
        <w:t>rvivencia da festa dos curros e consecuentemente dos garranos.</w:t>
      </w:r>
    </w:p>
    <w:p w14:paraId="537FC6EA" w14:textId="77777777" w:rsidR="00D62200" w:rsidRDefault="00D62200" w:rsidP="00D62200">
      <w:pPr>
        <w:ind w:right="424"/>
      </w:pPr>
    </w:p>
    <w:p w14:paraId="67FEE848" w14:textId="77777777" w:rsidR="00D62200" w:rsidRPr="00CB5DB4" w:rsidRDefault="00D62200" w:rsidP="00D62200">
      <w:pPr>
        <w:pStyle w:val="Default"/>
        <w:numPr>
          <w:ilvl w:val="0"/>
          <w:numId w:val="11"/>
        </w:numPr>
        <w:shd w:val="clear" w:color="auto" w:fill="C6D9F1"/>
        <w:spacing w:before="120"/>
        <w:ind w:left="1843" w:right="424" w:hanging="1843"/>
        <w:jc w:val="both"/>
        <w:outlineLvl w:val="0"/>
        <w:rPr>
          <w:rFonts w:ascii="Calibri" w:hAnsi="Calibri" w:cs="Calibri"/>
          <w:b/>
          <w:bCs/>
        </w:rPr>
      </w:pPr>
      <w:bookmarkStart w:id="467" w:name="_Toc132511040"/>
      <w:r>
        <w:rPr>
          <w:rFonts w:ascii="Calibri" w:hAnsi="Calibri" w:cs="Calibri"/>
          <w:b/>
          <w:bCs/>
        </w:rPr>
        <w:lastRenderedPageBreak/>
        <w:t xml:space="preserve">Afección grave á área de patrimonio inmaterial </w:t>
      </w:r>
      <w:r w:rsidRPr="001D3022">
        <w:rPr>
          <w:rFonts w:ascii="Calibri" w:hAnsi="Calibri" w:cs="Calibri"/>
          <w:b/>
          <w:bCs/>
          <w:i/>
        </w:rPr>
        <w:t>Curro de</w:t>
      </w:r>
      <w:r>
        <w:rPr>
          <w:rFonts w:ascii="Calibri" w:hAnsi="Calibri" w:cs="Calibri"/>
          <w:b/>
          <w:bCs/>
          <w:i/>
        </w:rPr>
        <w:t xml:space="preserve"> San Cibrán</w:t>
      </w:r>
      <w:r w:rsidRPr="001D3022">
        <w:rPr>
          <w:rFonts w:ascii="Calibri" w:hAnsi="Calibri" w:cs="Calibri"/>
          <w:b/>
          <w:bCs/>
          <w:i/>
        </w:rPr>
        <w:t>.</w:t>
      </w:r>
      <w:bookmarkEnd w:id="467"/>
      <w:r>
        <w:rPr>
          <w:rFonts w:ascii="Calibri" w:hAnsi="Calibri" w:cs="Calibri"/>
          <w:b/>
          <w:bCs/>
        </w:rPr>
        <w:t xml:space="preserve"> </w:t>
      </w:r>
    </w:p>
    <w:p w14:paraId="3921F3DD" w14:textId="77777777" w:rsidR="00D62200" w:rsidRDefault="00D62200" w:rsidP="00D62200">
      <w:pPr>
        <w:pStyle w:val="Prrafodelista"/>
        <w:ind w:left="0" w:right="424"/>
        <w:jc w:val="both"/>
        <w:rPr>
          <w:rFonts w:cstheme="minorHAnsi"/>
          <w:sz w:val="24"/>
          <w:szCs w:val="24"/>
        </w:rPr>
      </w:pPr>
    </w:p>
    <w:p w14:paraId="669539BA" w14:textId="77777777" w:rsidR="00D62200" w:rsidRPr="00AC6F3E" w:rsidRDefault="00D62200" w:rsidP="00D62200">
      <w:pPr>
        <w:pStyle w:val="Prrafodelista"/>
        <w:ind w:left="0" w:right="424"/>
        <w:jc w:val="both"/>
        <w:rPr>
          <w:rFonts w:cstheme="minorHAnsi"/>
          <w:sz w:val="24"/>
          <w:szCs w:val="24"/>
        </w:rPr>
      </w:pPr>
      <w:r w:rsidRPr="00AC6F3E">
        <w:rPr>
          <w:rFonts w:cstheme="minorHAnsi"/>
          <w:sz w:val="24"/>
          <w:szCs w:val="24"/>
        </w:rPr>
        <w:t>Igual que no punto anterior, as obras de evacuación e a subestación do Parque Eólico estarían afectando a a zona na que  viven os garranos que entran no Curro de San Cibrán, na parroquia de Santa Baia das Donas en Gondomar.</w:t>
      </w:r>
    </w:p>
    <w:p w14:paraId="05D4899D" w14:textId="77777777" w:rsidR="00D62200" w:rsidRDefault="00D62200" w:rsidP="00D62200">
      <w:pPr>
        <w:pStyle w:val="Prrafodelista"/>
        <w:ind w:right="424"/>
        <w:rPr>
          <w:rFonts w:ascii="Times New Roman" w:hAnsi="Times New Roman" w:cs="Times New Roman"/>
          <w:sz w:val="24"/>
          <w:szCs w:val="24"/>
        </w:rPr>
      </w:pPr>
    </w:p>
    <w:p w14:paraId="45AFF4DF" w14:textId="77777777" w:rsidR="00D62200" w:rsidRDefault="00D62200" w:rsidP="00D62200">
      <w:pPr>
        <w:pStyle w:val="Prrafodelista"/>
        <w:ind w:left="0" w:right="424"/>
        <w:jc w:val="center"/>
        <w:rPr>
          <w:rFonts w:ascii="Times New Roman" w:hAnsi="Times New Roman" w:cs="Times New Roman"/>
          <w:sz w:val="24"/>
          <w:szCs w:val="24"/>
        </w:rPr>
      </w:pPr>
      <w:r>
        <w:rPr>
          <w:noProof/>
          <w:lang w:eastAsia="es-ES"/>
        </w:rPr>
        <w:drawing>
          <wp:inline distT="0" distB="0" distL="0" distR="0" wp14:anchorId="03A432F0" wp14:editId="4D42C288">
            <wp:extent cx="5235432" cy="3637052"/>
            <wp:effectExtent l="0" t="0" r="381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5293451" cy="3677358"/>
                    </a:xfrm>
                    <a:prstGeom prst="rect">
                      <a:avLst/>
                    </a:prstGeom>
                    <a:ln>
                      <a:noFill/>
                    </a:ln>
                    <a:extLst>
                      <a:ext uri="{53640926-AAD7-44D8-BBD7-CCE9431645EC}">
                        <a14:shadowObscured xmlns:a14="http://schemas.microsoft.com/office/drawing/2010/main"/>
                      </a:ext>
                    </a:extLst>
                  </pic:spPr>
                </pic:pic>
              </a:graphicData>
            </a:graphic>
          </wp:inline>
        </w:drawing>
      </w:r>
    </w:p>
    <w:p w14:paraId="0A51E8A1" w14:textId="77777777" w:rsidR="00D62200" w:rsidRPr="00603909" w:rsidRDefault="00D62200" w:rsidP="00D62200">
      <w:pPr>
        <w:pStyle w:val="Prrafodelista"/>
        <w:ind w:left="0" w:right="424"/>
        <w:jc w:val="center"/>
        <w:rPr>
          <w:rFonts w:ascii="Times New Roman" w:hAnsi="Times New Roman" w:cs="Times New Roman"/>
          <w:sz w:val="24"/>
          <w:szCs w:val="24"/>
        </w:rPr>
      </w:pPr>
      <w:r w:rsidRPr="00AC6F3E">
        <w:rPr>
          <w:rFonts w:cstheme="minorHAnsi"/>
          <w:sz w:val="18"/>
          <w:szCs w:val="18"/>
        </w:rPr>
        <w:t>Mapa coas zonas de campeo dos curros de Torroña e San Cibrán , afectadas polo Parque Eólico Torroña I</w:t>
      </w:r>
      <w:r>
        <w:rPr>
          <w:rFonts w:ascii="Times New Roman" w:hAnsi="Times New Roman" w:cs="Times New Roman"/>
          <w:sz w:val="24"/>
          <w:szCs w:val="24"/>
        </w:rPr>
        <w:t>.</w:t>
      </w:r>
    </w:p>
    <w:p w14:paraId="03562542" w14:textId="77777777" w:rsidR="00D62200" w:rsidRDefault="0017543F" w:rsidP="008837F2">
      <w:pPr>
        <w:spacing w:line="259" w:lineRule="auto"/>
        <w:ind w:right="424" w:firstLine="708"/>
        <w:rPr>
          <w:rFonts w:ascii="CIDFont+F2" w:eastAsia="CIDFont+F10" w:hAnsi="CIDFont+F2" w:cs="CIDFont+F2"/>
          <w:sz w:val="24"/>
          <w:szCs w:val="24"/>
        </w:rPr>
      </w:pPr>
      <w:hyperlink r:id="rId78" w:history="1">
        <w:r w:rsidR="00D62200" w:rsidRPr="001B2860">
          <w:rPr>
            <w:rStyle w:val="Hipervnculo"/>
            <w:rFonts w:ascii="CIDFont+F2" w:eastAsia="CIDFont+F10" w:hAnsi="CIDFont+F2" w:cs="CIDFont+F2"/>
            <w:sz w:val="24"/>
            <w:szCs w:val="24"/>
          </w:rPr>
          <w:t>https://proxectoequus.wordpress.com/</w:t>
        </w:r>
      </w:hyperlink>
    </w:p>
    <w:p w14:paraId="1AE0145E" w14:textId="77777777" w:rsidR="00D62200" w:rsidRPr="00FB7AE9" w:rsidRDefault="00D62200" w:rsidP="00D62200">
      <w:pPr>
        <w:spacing w:line="259" w:lineRule="auto"/>
        <w:ind w:right="424"/>
        <w:rPr>
          <w:rFonts w:ascii="CIDFont+F2" w:eastAsia="CIDFont+F10" w:hAnsi="CIDFont+F2" w:cs="CIDFont+F2"/>
          <w:sz w:val="24"/>
          <w:szCs w:val="24"/>
        </w:rPr>
      </w:pPr>
    </w:p>
    <w:p w14:paraId="217A2740" w14:textId="77777777" w:rsidR="00D62200" w:rsidRDefault="00D62200" w:rsidP="00D62200">
      <w:pPr>
        <w:spacing w:before="120" w:after="0" w:line="240" w:lineRule="auto"/>
        <w:ind w:left="1418" w:right="424" w:hanging="1418"/>
        <w:jc w:val="both"/>
        <w:rPr>
          <w:rFonts w:cstheme="minorHAnsi"/>
        </w:rPr>
      </w:pPr>
    </w:p>
    <w:p w14:paraId="66409891" w14:textId="77777777" w:rsidR="00D62200" w:rsidRPr="00FB7AE9" w:rsidRDefault="00D62200" w:rsidP="00D62200">
      <w:pPr>
        <w:spacing w:before="120" w:after="0" w:line="240" w:lineRule="auto"/>
        <w:ind w:left="1418" w:right="424" w:hanging="1418"/>
        <w:jc w:val="both"/>
        <w:rPr>
          <w:rFonts w:cstheme="minorHAnsi"/>
        </w:rPr>
      </w:pPr>
    </w:p>
    <w:sdt>
      <w:sdtPr>
        <w:rPr>
          <w:rFonts w:asciiTheme="minorHAnsi" w:eastAsiaTheme="minorHAnsi" w:hAnsiTheme="minorHAnsi" w:cstheme="minorBidi"/>
          <w:b/>
          <w:bCs/>
        </w:rPr>
        <w:id w:val="1562524960"/>
        <w:docPartObj>
          <w:docPartGallery w:val="Bibliographies"/>
          <w:docPartUnique/>
        </w:docPartObj>
      </w:sdtPr>
      <w:sdtEndPr>
        <w:rPr>
          <w:rFonts w:ascii="Calibri" w:eastAsia="Calibri" w:hAnsi="Calibri" w:cs="Times New Roman"/>
          <w:b w:val="0"/>
          <w:bCs w:val="0"/>
        </w:rPr>
      </w:sdtEndPr>
      <w:sdtContent>
        <w:p w14:paraId="5729D61B" w14:textId="77777777" w:rsidR="00D62200" w:rsidRDefault="00D62200" w:rsidP="008837F2">
          <w:r>
            <w:t>Bibliografía:</w:t>
          </w:r>
        </w:p>
        <w:p w14:paraId="7B07A511" w14:textId="77777777" w:rsidR="00D62200" w:rsidRDefault="00D62200" w:rsidP="00D62200">
          <w:pPr>
            <w:widowControl w:val="0"/>
            <w:suppressAutoHyphens/>
            <w:autoSpaceDN w:val="0"/>
            <w:spacing w:after="0" w:line="240" w:lineRule="auto"/>
            <w:ind w:left="708" w:right="424"/>
            <w:rPr>
              <w:rFonts w:eastAsia="SimSun" w:cstheme="minorHAnsi"/>
              <w:kern w:val="3"/>
              <w:sz w:val="16"/>
              <w:szCs w:val="16"/>
              <w:lang w:eastAsia="zh-CN" w:bidi="hi-IN"/>
            </w:rPr>
          </w:pPr>
        </w:p>
        <w:p w14:paraId="6F548684" w14:textId="77777777" w:rsidR="00D62200" w:rsidRPr="00AC6F3E" w:rsidRDefault="00D62200" w:rsidP="00D62200">
          <w:pPr>
            <w:widowControl w:val="0"/>
            <w:suppressAutoHyphens/>
            <w:autoSpaceDN w:val="0"/>
            <w:spacing w:after="0" w:line="240" w:lineRule="auto"/>
            <w:ind w:left="708" w:right="424"/>
            <w:rPr>
              <w:rFonts w:eastAsia="SimSun" w:cstheme="minorHAnsi"/>
              <w:kern w:val="3"/>
              <w:sz w:val="16"/>
              <w:szCs w:val="16"/>
              <w:lang w:eastAsia="zh-CN" w:bidi="hi-IN"/>
            </w:rPr>
          </w:pPr>
          <w:r w:rsidRPr="00AC6F3E">
            <w:rPr>
              <w:rFonts w:eastAsia="SimSun" w:cstheme="minorHAnsi"/>
              <w:kern w:val="3"/>
              <w:sz w:val="16"/>
              <w:szCs w:val="16"/>
              <w:lang w:eastAsia="zh-CN" w:bidi="hi-IN"/>
            </w:rPr>
            <w:t>BÁRCENA; F. 2012. Garranos: Os póneis selvagems (</w:t>
          </w:r>
          <w:r w:rsidRPr="00AC6F3E">
            <w:rPr>
              <w:rFonts w:eastAsia="SimSun" w:cstheme="minorHAnsi"/>
              <w:i/>
              <w:kern w:val="3"/>
              <w:sz w:val="16"/>
              <w:szCs w:val="16"/>
              <w:lang w:eastAsia="zh-CN" w:bidi="hi-IN"/>
            </w:rPr>
            <w:t>Equus ferus sp</w:t>
          </w:r>
          <w:r w:rsidRPr="00AC6F3E">
            <w:rPr>
              <w:rFonts w:eastAsia="SimSun" w:cstheme="minorHAnsi"/>
              <w:kern w:val="3"/>
              <w:sz w:val="16"/>
              <w:szCs w:val="16"/>
              <w:lang w:eastAsia="zh-CN" w:bidi="hi-IN"/>
            </w:rPr>
            <w:t xml:space="preserve">) do norte da península Ibérica. Pages 75-96 en N. Vieira de Brito y G. Candeiras (coord.), </w:t>
          </w:r>
          <w:r w:rsidRPr="00AC6F3E">
            <w:rPr>
              <w:rFonts w:eastAsia="SimSun" w:cstheme="minorHAnsi"/>
              <w:i/>
              <w:kern w:val="3"/>
              <w:sz w:val="16"/>
              <w:szCs w:val="16"/>
              <w:lang w:eastAsia="zh-CN" w:bidi="hi-IN"/>
            </w:rPr>
            <w:t>Libro de Atas do I Congresso</w:t>
          </w:r>
          <w:r w:rsidRPr="00AC6F3E">
            <w:rPr>
              <w:rFonts w:eastAsia="SimSun" w:cstheme="minorHAnsi"/>
              <w:kern w:val="3"/>
              <w:sz w:val="16"/>
              <w:szCs w:val="16"/>
              <w:lang w:eastAsia="zh-CN" w:bidi="hi-IN"/>
            </w:rPr>
            <w:t xml:space="preserve"> </w:t>
          </w:r>
          <w:r w:rsidRPr="00AC6F3E">
            <w:rPr>
              <w:rFonts w:eastAsia="SimSun" w:cstheme="minorHAnsi"/>
              <w:i/>
              <w:kern w:val="3"/>
              <w:sz w:val="16"/>
              <w:szCs w:val="16"/>
              <w:lang w:eastAsia="zh-CN" w:bidi="hi-IN"/>
            </w:rPr>
            <w:t>Internacional do garrano</w:t>
          </w:r>
          <w:r w:rsidRPr="00AC6F3E">
            <w:rPr>
              <w:rFonts w:eastAsia="SimSun" w:cstheme="minorHAnsi"/>
              <w:kern w:val="3"/>
              <w:sz w:val="16"/>
              <w:szCs w:val="16"/>
              <w:lang w:eastAsia="zh-CN" w:bidi="hi-IN"/>
            </w:rPr>
            <w:t>. Arcos de Valdevez. Portugal.</w:t>
          </w:r>
        </w:p>
        <w:p w14:paraId="18B97436" w14:textId="77777777" w:rsidR="00D62200" w:rsidRPr="00AC6F3E" w:rsidRDefault="00D62200" w:rsidP="00D62200">
          <w:pPr>
            <w:widowControl w:val="0"/>
            <w:suppressAutoHyphens/>
            <w:autoSpaceDN w:val="0"/>
            <w:spacing w:after="0" w:line="240" w:lineRule="auto"/>
            <w:ind w:left="708" w:right="424"/>
            <w:rPr>
              <w:rFonts w:eastAsia="SimSun" w:cstheme="minorHAnsi"/>
              <w:kern w:val="3"/>
              <w:sz w:val="16"/>
              <w:szCs w:val="16"/>
              <w:lang w:eastAsia="zh-CN" w:bidi="hi-IN"/>
            </w:rPr>
          </w:pPr>
        </w:p>
        <w:p w14:paraId="1DABF1A5"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Regular" w:cstheme="minorHAnsi"/>
              <w:kern w:val="3"/>
              <w:sz w:val="16"/>
              <w:szCs w:val="16"/>
              <w:lang w:eastAsia="zh-CN" w:bidi="hi-IN"/>
            </w:rPr>
            <w:t xml:space="preserve">BARCENA VARELA DE LIMA, F. (2013): </w:t>
          </w:r>
          <w:r w:rsidRPr="00AC6F3E">
            <w:rPr>
              <w:rFonts w:eastAsia="MinionPro-It" w:cstheme="minorHAnsi"/>
              <w:i/>
              <w:iCs/>
              <w:kern w:val="3"/>
              <w:sz w:val="16"/>
              <w:szCs w:val="16"/>
              <w:lang w:eastAsia="zh-CN" w:bidi="hi-IN"/>
            </w:rPr>
            <w:t>Los garranos de los montes gallegos</w:t>
          </w:r>
          <w:r w:rsidRPr="00AC6F3E">
            <w:rPr>
              <w:rFonts w:eastAsia="MinionPro-Regular" w:cstheme="minorHAnsi"/>
              <w:kern w:val="3"/>
              <w:sz w:val="16"/>
              <w:szCs w:val="16"/>
              <w:lang w:eastAsia="zh-CN" w:bidi="hi-IN"/>
            </w:rPr>
            <w:t>. Conferencia,</w:t>
          </w:r>
        </w:p>
        <w:p w14:paraId="6861F8FE"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Regular" w:cstheme="minorHAnsi"/>
              <w:kern w:val="3"/>
              <w:sz w:val="16"/>
              <w:szCs w:val="16"/>
              <w:lang w:eastAsia="zh-CN" w:bidi="hi-IN"/>
            </w:rPr>
            <w:t>Club Faro de Vigo 14 de outubro. Vigo.</w:t>
          </w:r>
        </w:p>
        <w:p w14:paraId="119A0F01"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p>
        <w:p w14:paraId="5E3E4DF6"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Regular" w:cstheme="minorHAnsi"/>
              <w:kern w:val="3"/>
              <w:sz w:val="16"/>
              <w:szCs w:val="16"/>
              <w:lang w:eastAsia="zh-CN" w:bidi="hi-IN"/>
            </w:rPr>
            <w:t xml:space="preserve">BARCENA VARELA DE LIMA, F. (2013): </w:t>
          </w:r>
          <w:r w:rsidRPr="00AC6F3E">
            <w:rPr>
              <w:rFonts w:eastAsia="MinionPro-It" w:cstheme="minorHAnsi"/>
              <w:i/>
              <w:iCs/>
              <w:kern w:val="3"/>
              <w:sz w:val="16"/>
              <w:szCs w:val="16"/>
              <w:lang w:eastAsia="zh-CN" w:bidi="hi-IN"/>
            </w:rPr>
            <w:t>Que son os cabalos salvaxes de Galicia</w:t>
          </w:r>
          <w:r w:rsidRPr="00AC6F3E">
            <w:rPr>
              <w:rFonts w:eastAsia="MinionPro-Regular" w:cstheme="minorHAnsi"/>
              <w:kern w:val="3"/>
              <w:sz w:val="16"/>
              <w:szCs w:val="16"/>
              <w:lang w:eastAsia="zh-CN" w:bidi="hi-IN"/>
            </w:rPr>
            <w:t>?.</w:t>
          </w:r>
        </w:p>
        <w:p w14:paraId="1741C3D7"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Regular" w:cstheme="minorHAnsi"/>
              <w:kern w:val="3"/>
              <w:sz w:val="16"/>
              <w:szCs w:val="16"/>
              <w:lang w:eastAsia="zh-CN" w:bidi="hi-IN"/>
            </w:rPr>
            <w:t>Xornadas O cabalo salvaxe en galicia, Rabade, Lugo.</w:t>
          </w:r>
        </w:p>
        <w:p w14:paraId="5102D10B"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p>
        <w:p w14:paraId="741A66D7"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Regular" w:cstheme="minorHAnsi"/>
              <w:kern w:val="3"/>
              <w:sz w:val="16"/>
              <w:szCs w:val="16"/>
              <w:lang w:eastAsia="zh-CN" w:bidi="hi-IN"/>
            </w:rPr>
            <w:t>BÁRCENA VARELA DE LIMA, F.(2021) La importancia de los garranos en el mantenimiento de los ecosisitemas naturales de montaña:su interés en las áreas protegidas. En Percursos do homem e do Garrano. Leituraas interdisciplinares. Actas do seminario do Projecto. Cámara Municipal de Viana do Castelo , Viana do Castelo 2021.</w:t>
          </w:r>
        </w:p>
        <w:p w14:paraId="33E829C3"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p>
        <w:p w14:paraId="6C96E7A4" w14:textId="77777777" w:rsidR="00D62200" w:rsidRDefault="00D62200" w:rsidP="00D62200">
          <w:pPr>
            <w:widowControl w:val="0"/>
            <w:suppressAutoHyphens/>
            <w:autoSpaceDN w:val="0"/>
            <w:spacing w:after="0" w:line="240" w:lineRule="auto"/>
            <w:ind w:left="708" w:right="424"/>
            <w:rPr>
              <w:rFonts w:eastAsia="SimSun" w:cstheme="minorHAnsi"/>
              <w:kern w:val="3"/>
              <w:sz w:val="16"/>
              <w:szCs w:val="16"/>
              <w:lang w:eastAsia="zh-CN" w:bidi="hi-IN"/>
            </w:rPr>
          </w:pPr>
          <w:r w:rsidRPr="00AC6F3E">
            <w:rPr>
              <w:rFonts w:eastAsia="SimSun" w:cstheme="minorHAnsi"/>
              <w:kern w:val="3"/>
              <w:sz w:val="16"/>
              <w:szCs w:val="16"/>
              <w:lang w:eastAsia="zh-CN" w:bidi="hi-IN"/>
            </w:rPr>
            <w:t>BAS LÓPEZ, S.; 2017. A dieta das greas de garranos salvaxes (Equus ferus atlanticus) da parte norte da Serra do Seixo (Pontevedra). Branha nº  15. Edición electrónica da revista da SGHN. 2017</w:t>
          </w:r>
        </w:p>
        <w:p w14:paraId="6A1CD6DA" w14:textId="77777777" w:rsidR="008837F2" w:rsidRPr="00AC6F3E" w:rsidRDefault="008837F2" w:rsidP="00D62200">
          <w:pPr>
            <w:widowControl w:val="0"/>
            <w:suppressAutoHyphens/>
            <w:autoSpaceDN w:val="0"/>
            <w:spacing w:after="0" w:line="240" w:lineRule="auto"/>
            <w:ind w:left="708" w:right="424"/>
            <w:rPr>
              <w:rFonts w:eastAsia="SimSun" w:cstheme="minorHAnsi"/>
              <w:kern w:val="3"/>
              <w:sz w:val="16"/>
              <w:szCs w:val="16"/>
              <w:lang w:eastAsia="zh-CN" w:bidi="hi-IN"/>
            </w:rPr>
          </w:pPr>
        </w:p>
        <w:p w14:paraId="74417B8E" w14:textId="77777777" w:rsidR="00D62200" w:rsidRPr="00AC6F3E" w:rsidRDefault="00D62200" w:rsidP="008837F2">
          <w:pPr>
            <w:spacing w:after="0" w:line="240" w:lineRule="auto"/>
            <w:ind w:firstLine="709"/>
            <w:rPr>
              <w:rFonts w:eastAsia="Times New Roman" w:cstheme="minorHAnsi"/>
              <w:color w:val="000000"/>
              <w:kern w:val="3"/>
              <w:sz w:val="16"/>
              <w:szCs w:val="16"/>
              <w:lang w:eastAsia="es-ES" w:bidi="hi-IN"/>
            </w:rPr>
          </w:pPr>
          <w:r w:rsidRPr="00AC6F3E">
            <w:rPr>
              <w:rFonts w:eastAsia="Times New Roman" w:cstheme="minorHAnsi"/>
              <w:color w:val="000000"/>
              <w:kern w:val="3"/>
              <w:sz w:val="16"/>
              <w:szCs w:val="16"/>
              <w:lang w:eastAsia="es-ES" w:bidi="hi-IN"/>
            </w:rPr>
            <w:t>FAGUNDEZ, J. HERMIDA, R., LAGOS, L.Brezales, lobos y caballos salvajes en Galicia</w:t>
          </w:r>
        </w:p>
        <w:p w14:paraId="0F2DF5E4" w14:textId="77777777" w:rsidR="00D62200" w:rsidRPr="00AC6F3E" w:rsidRDefault="0017543F" w:rsidP="00D62200">
          <w:pPr>
            <w:widowControl w:val="0"/>
            <w:suppressAutoHyphens/>
            <w:autoSpaceDN w:val="0"/>
            <w:spacing w:after="0" w:line="240" w:lineRule="auto"/>
            <w:ind w:left="708" w:right="424"/>
            <w:rPr>
              <w:rFonts w:eastAsia="Times New Roman" w:cstheme="minorHAnsi"/>
              <w:color w:val="000000"/>
              <w:kern w:val="3"/>
              <w:sz w:val="16"/>
              <w:szCs w:val="16"/>
              <w:lang w:eastAsia="es-ES" w:bidi="hi-IN"/>
            </w:rPr>
          </w:pPr>
          <w:hyperlink r:id="rId79" w:history="1">
            <w:r w:rsidR="00D62200" w:rsidRPr="008837F2">
              <w:rPr>
                <w:rFonts w:eastAsia="Times New Roman" w:cstheme="minorHAnsi"/>
                <w:color w:val="000000" w:themeColor="text1"/>
                <w:kern w:val="3"/>
                <w:sz w:val="16"/>
                <w:szCs w:val="16"/>
                <w:lang w:eastAsia="es-ES" w:bidi="hi-IN"/>
              </w:rPr>
              <w:t>Quercus</w:t>
            </w:r>
          </w:hyperlink>
          <w:r w:rsidR="00D62200" w:rsidRPr="008837F2">
            <w:rPr>
              <w:rFonts w:eastAsia="Times New Roman" w:cstheme="minorHAnsi"/>
              <w:color w:val="000000" w:themeColor="text1"/>
              <w:kern w:val="3"/>
              <w:sz w:val="16"/>
              <w:szCs w:val="16"/>
              <w:lang w:eastAsia="es-ES" w:bidi="hi-IN"/>
            </w:rPr>
            <w:t>, ISSN 0212-0054, </w:t>
          </w:r>
          <w:hyperlink r:id="rId80" w:history="1">
            <w:r w:rsidR="00D62200" w:rsidRPr="008837F2">
              <w:rPr>
                <w:rFonts w:eastAsia="Times New Roman" w:cstheme="minorHAnsi"/>
                <w:color w:val="000000" w:themeColor="text1"/>
                <w:kern w:val="3"/>
                <w:sz w:val="16"/>
                <w:szCs w:val="16"/>
                <w:lang w:eastAsia="es-ES" w:bidi="hi-IN"/>
              </w:rPr>
              <w:t>Nº 377, 2017</w:t>
            </w:r>
          </w:hyperlink>
          <w:r w:rsidR="00D62200" w:rsidRPr="00AC6F3E">
            <w:rPr>
              <w:rFonts w:eastAsia="Times New Roman" w:cstheme="minorHAnsi"/>
              <w:color w:val="000000"/>
              <w:kern w:val="3"/>
              <w:sz w:val="16"/>
              <w:szCs w:val="16"/>
              <w:lang w:eastAsia="es-ES" w:bidi="hi-IN"/>
            </w:rPr>
            <w:t>, págs. 20-28</w:t>
          </w:r>
        </w:p>
        <w:p w14:paraId="713EF6AE" w14:textId="77777777" w:rsidR="00D62200" w:rsidRPr="00AC6F3E" w:rsidRDefault="00D62200" w:rsidP="00D62200">
          <w:pPr>
            <w:widowControl w:val="0"/>
            <w:suppressAutoHyphens/>
            <w:autoSpaceDN w:val="0"/>
            <w:spacing w:after="0" w:line="240" w:lineRule="auto"/>
            <w:ind w:left="708" w:right="424"/>
            <w:rPr>
              <w:rFonts w:eastAsia="SimSun" w:cstheme="minorHAnsi"/>
              <w:kern w:val="3"/>
              <w:sz w:val="16"/>
              <w:szCs w:val="16"/>
              <w:lang w:eastAsia="zh-CN" w:bidi="hi-IN"/>
            </w:rPr>
          </w:pPr>
        </w:p>
        <w:p w14:paraId="178A5CA9"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Regular" w:cstheme="minorHAnsi"/>
              <w:kern w:val="3"/>
              <w:sz w:val="16"/>
              <w:szCs w:val="16"/>
              <w:lang w:eastAsia="zh-CN" w:bidi="hi-IN"/>
            </w:rPr>
            <w:t xml:space="preserve">IGLESIA HERNANDEZ, P. (1973): </w:t>
          </w:r>
          <w:r w:rsidRPr="00AC6F3E">
            <w:rPr>
              <w:rFonts w:eastAsia="MinionPro-It" w:cstheme="minorHAnsi"/>
              <w:i/>
              <w:iCs/>
              <w:kern w:val="3"/>
              <w:sz w:val="16"/>
              <w:szCs w:val="16"/>
              <w:lang w:eastAsia="zh-CN" w:bidi="hi-IN"/>
            </w:rPr>
            <w:t>Los caballos gallegos explotados en régimen de libertad</w:t>
          </w:r>
        </w:p>
        <w:p w14:paraId="32118501"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It" w:cstheme="minorHAnsi"/>
              <w:i/>
              <w:iCs/>
              <w:kern w:val="3"/>
              <w:sz w:val="16"/>
              <w:szCs w:val="16"/>
              <w:lang w:eastAsia="zh-CN" w:bidi="hi-IN"/>
            </w:rPr>
            <w:t xml:space="preserve">o caballos salvajes en Galicia. </w:t>
          </w:r>
          <w:r w:rsidRPr="00AC6F3E">
            <w:rPr>
              <w:rFonts w:eastAsia="MinionPro-Regular" w:cstheme="minorHAnsi"/>
              <w:kern w:val="3"/>
              <w:sz w:val="16"/>
              <w:szCs w:val="16"/>
              <w:lang w:eastAsia="zh-CN" w:bidi="hi-IN"/>
            </w:rPr>
            <w:t>U.C. de Madrid Facultad de Veterinaria. Tese de</w:t>
          </w:r>
        </w:p>
        <w:p w14:paraId="65284762"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Regular" w:cstheme="minorHAnsi"/>
              <w:kern w:val="3"/>
              <w:sz w:val="16"/>
              <w:szCs w:val="16"/>
              <w:lang w:eastAsia="zh-CN" w:bidi="hi-IN"/>
            </w:rPr>
            <w:lastRenderedPageBreak/>
            <w:t>doutoramento inedita. Madrid.</w:t>
          </w:r>
        </w:p>
        <w:p w14:paraId="55477A81" w14:textId="77777777" w:rsidR="00D62200" w:rsidRPr="00AC6F3E" w:rsidRDefault="00D62200" w:rsidP="00D62200">
          <w:pPr>
            <w:widowControl w:val="0"/>
            <w:suppressAutoHyphens/>
            <w:autoSpaceDE w:val="0"/>
            <w:autoSpaceDN w:val="0"/>
            <w:spacing w:after="0" w:line="240" w:lineRule="auto"/>
            <w:ind w:left="708" w:right="424"/>
            <w:rPr>
              <w:rFonts w:eastAsia="SimSun" w:cstheme="minorHAnsi"/>
              <w:kern w:val="3"/>
              <w:sz w:val="16"/>
              <w:szCs w:val="16"/>
              <w:lang w:eastAsia="zh-CN" w:bidi="hi-IN"/>
            </w:rPr>
          </w:pPr>
        </w:p>
        <w:p w14:paraId="32338307"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p>
        <w:p w14:paraId="7D36670D"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Regular" w:cstheme="minorHAnsi"/>
              <w:kern w:val="3"/>
              <w:sz w:val="16"/>
              <w:szCs w:val="16"/>
              <w:lang w:eastAsia="zh-CN" w:bidi="hi-IN"/>
            </w:rPr>
            <w:t xml:space="preserve">LAGOS ABARZUZA, L. (2013): </w:t>
          </w:r>
          <w:r w:rsidRPr="00AC6F3E">
            <w:rPr>
              <w:rFonts w:eastAsia="MinionPro-It" w:cstheme="minorHAnsi"/>
              <w:i/>
              <w:iCs/>
              <w:kern w:val="3"/>
              <w:sz w:val="16"/>
              <w:szCs w:val="16"/>
              <w:lang w:eastAsia="zh-CN" w:bidi="hi-IN"/>
            </w:rPr>
            <w:t>Ecología del lobo (Canis lupus), del poni salvaje (Equus</w:t>
          </w:r>
        </w:p>
        <w:p w14:paraId="2B1C50D0" w14:textId="77777777" w:rsidR="00D62200" w:rsidRPr="00AC6F3E" w:rsidRDefault="00D62200" w:rsidP="00D62200">
          <w:pPr>
            <w:widowControl w:val="0"/>
            <w:suppressAutoHyphens/>
            <w:autoSpaceDE w:val="0"/>
            <w:autoSpaceDN w:val="0"/>
            <w:spacing w:after="0" w:line="240" w:lineRule="auto"/>
            <w:ind w:left="708" w:right="424"/>
            <w:rPr>
              <w:rFonts w:eastAsia="MinionPro-It" w:cstheme="minorHAnsi"/>
              <w:i/>
              <w:iCs/>
              <w:kern w:val="3"/>
              <w:sz w:val="16"/>
              <w:szCs w:val="16"/>
              <w:lang w:eastAsia="zh-CN" w:bidi="hi-IN"/>
            </w:rPr>
          </w:pPr>
          <w:r w:rsidRPr="00AC6F3E">
            <w:rPr>
              <w:rFonts w:eastAsia="MinionPro-It" w:cstheme="minorHAnsi"/>
              <w:i/>
              <w:iCs/>
              <w:kern w:val="3"/>
              <w:sz w:val="16"/>
              <w:szCs w:val="16"/>
              <w:lang w:eastAsia="zh-CN" w:bidi="hi-IN"/>
            </w:rPr>
            <w:t>ferus atlanticus) y del ganado vacuno semiextensivo (Bou taurus) en Galicia: interacciones</w:t>
          </w:r>
        </w:p>
        <w:p w14:paraId="78551566"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It" w:cstheme="minorHAnsi"/>
              <w:i/>
              <w:iCs/>
              <w:kern w:val="3"/>
              <w:sz w:val="16"/>
              <w:szCs w:val="16"/>
              <w:lang w:eastAsia="zh-CN" w:bidi="hi-IN"/>
            </w:rPr>
            <w:t xml:space="preserve">depredador-presa. </w:t>
          </w:r>
          <w:r w:rsidRPr="00AC6F3E">
            <w:rPr>
              <w:rFonts w:eastAsia="MinionPro-Regular" w:cstheme="minorHAnsi"/>
              <w:kern w:val="3"/>
              <w:sz w:val="16"/>
              <w:szCs w:val="16"/>
              <w:lang w:eastAsia="zh-CN" w:bidi="hi-IN"/>
            </w:rPr>
            <w:t>Tese, Universidad de Santiago de Compostela. Santiago.</w:t>
          </w:r>
        </w:p>
        <w:p w14:paraId="7322E216"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p>
        <w:p w14:paraId="1C4865BF"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Regular" w:cstheme="minorHAnsi"/>
              <w:kern w:val="3"/>
              <w:sz w:val="16"/>
              <w:szCs w:val="16"/>
              <w:lang w:eastAsia="zh-CN" w:bidi="hi-IN"/>
            </w:rPr>
            <w:t xml:space="preserve">LAGOS ABARZUZA, L. (2014): </w:t>
          </w:r>
          <w:r w:rsidRPr="00AC6F3E">
            <w:rPr>
              <w:rFonts w:eastAsia="MinionPro-It" w:cstheme="minorHAnsi"/>
              <w:i/>
              <w:iCs/>
              <w:kern w:val="3"/>
              <w:sz w:val="16"/>
              <w:szCs w:val="16"/>
              <w:lang w:eastAsia="zh-CN" w:bidi="hi-IN"/>
            </w:rPr>
            <w:t>O sistema tradicional de aproveitamento dos ponis</w:t>
          </w:r>
        </w:p>
        <w:p w14:paraId="20741EB0" w14:textId="77777777" w:rsidR="00D62200" w:rsidRPr="00AC6F3E" w:rsidRDefault="00D62200" w:rsidP="00D62200">
          <w:pPr>
            <w:widowControl w:val="0"/>
            <w:suppressAutoHyphens/>
            <w:autoSpaceDE w:val="0"/>
            <w:autoSpaceDN w:val="0"/>
            <w:spacing w:after="0" w:line="240" w:lineRule="auto"/>
            <w:ind w:left="708" w:right="424"/>
            <w:rPr>
              <w:rFonts w:eastAsia="MinionPro-It" w:cstheme="minorHAnsi"/>
              <w:i/>
              <w:iCs/>
              <w:kern w:val="3"/>
              <w:sz w:val="16"/>
              <w:szCs w:val="16"/>
              <w:lang w:eastAsia="zh-CN" w:bidi="hi-IN"/>
            </w:rPr>
          </w:pPr>
          <w:r w:rsidRPr="00AC6F3E">
            <w:rPr>
              <w:rFonts w:eastAsia="MinionPro-It" w:cstheme="minorHAnsi"/>
              <w:i/>
              <w:iCs/>
              <w:kern w:val="3"/>
              <w:sz w:val="16"/>
              <w:szCs w:val="16"/>
              <w:lang w:eastAsia="zh-CN" w:bidi="hi-IN"/>
            </w:rPr>
            <w:t>atlánticos salvaxes nos montes da Groba, Morgadáns e Galiñeiro. Retos no século</w:t>
          </w:r>
        </w:p>
        <w:p w14:paraId="21CA18A9"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It" w:cstheme="minorHAnsi"/>
              <w:i/>
              <w:iCs/>
              <w:kern w:val="3"/>
              <w:sz w:val="16"/>
              <w:szCs w:val="16"/>
              <w:lang w:eastAsia="zh-CN" w:bidi="hi-IN"/>
            </w:rPr>
            <w:t xml:space="preserve">XXI. </w:t>
          </w:r>
          <w:r w:rsidRPr="00AC6F3E">
            <w:rPr>
              <w:rFonts w:eastAsia="MinionPro-Regular" w:cstheme="minorHAnsi"/>
              <w:kern w:val="3"/>
              <w:sz w:val="16"/>
              <w:szCs w:val="16"/>
              <w:lang w:eastAsia="zh-CN" w:bidi="hi-IN"/>
            </w:rPr>
            <w:t>REM no 12/13. Edita IEM. Vigo.</w:t>
          </w:r>
        </w:p>
        <w:p w14:paraId="6120D340"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p>
        <w:p w14:paraId="43551F82"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Regular" w:cstheme="minorHAnsi"/>
              <w:kern w:val="3"/>
              <w:sz w:val="16"/>
              <w:szCs w:val="16"/>
              <w:lang w:eastAsia="zh-CN" w:bidi="hi-IN"/>
            </w:rPr>
            <w:t>LAGOS ABARZUZA, L. (2021)O sistema tradicional de gestâo dos poneis atlánticos selvagens na Galiza: entre a memoria e os desafíos de futuro. Páx 117-134. En Percursos do homem e do Garrano. Leituraas interdisciplinares. Actas do seminario do Projecto. Cámara Municipal de Viana do Castelo , Viana do Castelo 2021.</w:t>
          </w:r>
        </w:p>
        <w:p w14:paraId="33A68F3A"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p>
        <w:p w14:paraId="17D1651C" w14:textId="77777777" w:rsidR="00D62200" w:rsidRPr="00AC6F3E" w:rsidRDefault="00D62200" w:rsidP="00D62200">
          <w:pPr>
            <w:widowControl w:val="0"/>
            <w:suppressAutoHyphens/>
            <w:autoSpaceDN w:val="0"/>
            <w:spacing w:after="0" w:line="240" w:lineRule="auto"/>
            <w:ind w:left="708" w:right="424"/>
            <w:rPr>
              <w:rFonts w:eastAsia="SimSun" w:cstheme="minorHAnsi"/>
              <w:kern w:val="3"/>
              <w:sz w:val="16"/>
              <w:szCs w:val="16"/>
              <w:lang w:eastAsia="zh-CN" w:bidi="hi-IN"/>
            </w:rPr>
          </w:pPr>
          <w:r w:rsidRPr="00AC6F3E">
            <w:rPr>
              <w:rFonts w:eastAsia="SimSun" w:cstheme="minorHAnsi"/>
              <w:kern w:val="3"/>
              <w:sz w:val="16"/>
              <w:szCs w:val="16"/>
              <w:lang w:eastAsia="zh-CN" w:bidi="hi-IN"/>
            </w:rPr>
            <w:t xml:space="preserve">MANSO DE LA TORRE, X. </w:t>
          </w:r>
          <w:r w:rsidRPr="00AC6F3E">
            <w:rPr>
              <w:rFonts w:eastAsia="SimSun" w:cstheme="minorHAnsi"/>
              <w:i/>
              <w:kern w:val="3"/>
              <w:sz w:val="16"/>
              <w:szCs w:val="16"/>
              <w:lang w:eastAsia="zh-CN" w:bidi="hi-IN"/>
            </w:rPr>
            <w:t>Equus ferus atlanticus. As burras do monte da Serra da Groba</w:t>
          </w:r>
          <w:r w:rsidRPr="00AC6F3E">
            <w:rPr>
              <w:rFonts w:eastAsia="SimSun" w:cstheme="minorHAnsi"/>
              <w:kern w:val="3"/>
              <w:sz w:val="16"/>
              <w:szCs w:val="16"/>
              <w:lang w:eastAsia="zh-CN" w:bidi="hi-IN"/>
            </w:rPr>
            <w:t>. REM nª 14/15. Instituto de Estudos Miñoráns, Gondomar.  2016.</w:t>
          </w:r>
        </w:p>
        <w:p w14:paraId="5720B01F" w14:textId="77777777" w:rsidR="00D62200" w:rsidRPr="00AC6F3E" w:rsidRDefault="00D62200" w:rsidP="00D62200">
          <w:pPr>
            <w:widowControl w:val="0"/>
            <w:suppressAutoHyphens/>
            <w:autoSpaceDN w:val="0"/>
            <w:spacing w:after="0" w:line="240" w:lineRule="auto"/>
            <w:ind w:left="708" w:right="424"/>
            <w:rPr>
              <w:rFonts w:eastAsia="SimSun" w:cstheme="minorHAnsi"/>
              <w:kern w:val="3"/>
              <w:sz w:val="16"/>
              <w:szCs w:val="16"/>
              <w:lang w:eastAsia="zh-CN" w:bidi="hi-IN"/>
            </w:rPr>
          </w:pPr>
        </w:p>
        <w:p w14:paraId="1C118402" w14:textId="77777777" w:rsidR="00D62200" w:rsidRPr="00AC6F3E" w:rsidRDefault="00D62200" w:rsidP="00D62200">
          <w:pPr>
            <w:widowControl w:val="0"/>
            <w:suppressAutoHyphens/>
            <w:autoSpaceDN w:val="0"/>
            <w:spacing w:after="0" w:line="240" w:lineRule="auto"/>
            <w:ind w:left="708" w:right="424"/>
            <w:rPr>
              <w:rFonts w:eastAsia="SimSun" w:cstheme="minorHAnsi"/>
              <w:kern w:val="3"/>
              <w:sz w:val="16"/>
              <w:szCs w:val="16"/>
              <w:lang w:eastAsia="zh-CN" w:bidi="hi-IN"/>
            </w:rPr>
          </w:pPr>
          <w:r w:rsidRPr="00AC6F3E">
            <w:rPr>
              <w:rFonts w:eastAsia="SimSun" w:cstheme="minorHAnsi"/>
              <w:kern w:val="3"/>
              <w:sz w:val="16"/>
              <w:szCs w:val="16"/>
              <w:lang w:eastAsia="zh-CN" w:bidi="hi-IN"/>
            </w:rPr>
            <w:t xml:space="preserve">MANSO DE LA TORRE, X. </w:t>
          </w:r>
          <w:r w:rsidRPr="00AC6F3E">
            <w:rPr>
              <w:rFonts w:eastAsia="SimSun" w:cstheme="minorHAnsi"/>
              <w:i/>
              <w:kern w:val="3"/>
              <w:sz w:val="16"/>
              <w:szCs w:val="16"/>
              <w:lang w:eastAsia="zh-CN" w:bidi="hi-IN"/>
            </w:rPr>
            <w:t>A xenética dos garranos da Groba.Unha análise necesaria</w:t>
          </w:r>
          <w:r w:rsidRPr="00AC6F3E">
            <w:rPr>
              <w:rFonts w:eastAsia="SimSun" w:cstheme="minorHAnsi"/>
              <w:kern w:val="3"/>
              <w:sz w:val="16"/>
              <w:szCs w:val="16"/>
              <w:lang w:eastAsia="zh-CN" w:bidi="hi-IN"/>
            </w:rPr>
            <w:t>. REM nº 18. Gondomar. 2019</w:t>
          </w:r>
        </w:p>
        <w:p w14:paraId="67020608"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SimSun" w:cstheme="minorHAnsi"/>
              <w:kern w:val="3"/>
              <w:sz w:val="16"/>
              <w:szCs w:val="16"/>
              <w:lang w:eastAsia="zh-CN" w:bidi="hi-IN"/>
            </w:rPr>
            <w:t xml:space="preserve">MANSO, X. </w:t>
          </w:r>
          <w:r w:rsidRPr="00AC6F3E">
            <w:rPr>
              <w:rFonts w:eastAsia="MinionPro-Regular" w:cstheme="minorHAnsi"/>
              <w:kern w:val="3"/>
              <w:sz w:val="16"/>
              <w:szCs w:val="16"/>
              <w:lang w:eastAsia="zh-CN" w:bidi="hi-IN"/>
            </w:rPr>
            <w:t>MARTINEZ, VILAR, VERDE, ALVAREZ, LEDO, CENTELLES, (2018): O</w:t>
          </w:r>
        </w:p>
        <w:p w14:paraId="53AE61C8" w14:textId="77777777" w:rsidR="00D62200" w:rsidRPr="00AC6F3E" w:rsidRDefault="00D62200" w:rsidP="00D62200">
          <w:pPr>
            <w:widowControl w:val="0"/>
            <w:suppressAutoHyphens/>
            <w:autoSpaceDE w:val="0"/>
            <w:autoSpaceDN w:val="0"/>
            <w:spacing w:after="0" w:line="240" w:lineRule="auto"/>
            <w:ind w:left="708" w:right="424"/>
            <w:rPr>
              <w:rFonts w:eastAsia="MinionPro-It" w:cstheme="minorHAnsi"/>
              <w:i/>
              <w:iCs/>
              <w:kern w:val="3"/>
              <w:sz w:val="16"/>
              <w:szCs w:val="16"/>
              <w:lang w:eastAsia="zh-CN" w:bidi="hi-IN"/>
            </w:rPr>
          </w:pPr>
          <w:r w:rsidRPr="00AC6F3E">
            <w:rPr>
              <w:rFonts w:eastAsia="MinionPro-It" w:cstheme="minorHAnsi"/>
              <w:i/>
              <w:iCs/>
              <w:kern w:val="3"/>
              <w:sz w:val="16"/>
              <w:szCs w:val="16"/>
              <w:lang w:eastAsia="zh-CN" w:bidi="hi-IN"/>
            </w:rPr>
            <w:t>proxecto equus: un novo paradigma nas escenas de caza de arte rupestre galega e do</w:t>
          </w:r>
        </w:p>
        <w:p w14:paraId="63EA1FAE"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It" w:cstheme="minorHAnsi"/>
              <w:i/>
              <w:iCs/>
              <w:kern w:val="3"/>
              <w:sz w:val="16"/>
              <w:szCs w:val="16"/>
              <w:lang w:eastAsia="zh-CN" w:bidi="hi-IN"/>
            </w:rPr>
            <w:t>norte de Portugal.</w:t>
          </w:r>
          <w:r w:rsidRPr="00AC6F3E">
            <w:rPr>
              <w:rFonts w:eastAsia="MinionPro-Regular" w:cstheme="minorHAnsi"/>
              <w:kern w:val="3"/>
              <w:sz w:val="16"/>
              <w:szCs w:val="16"/>
              <w:lang w:eastAsia="zh-CN" w:bidi="hi-IN"/>
            </w:rPr>
            <w:t>REM no 16/17. Vigo.</w:t>
          </w:r>
        </w:p>
        <w:p w14:paraId="27CE30E0"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p>
        <w:p w14:paraId="2C35D2F9" w14:textId="77777777" w:rsidR="00D62200" w:rsidRPr="00AC6F3E" w:rsidRDefault="00D62200" w:rsidP="00D62200">
          <w:pPr>
            <w:widowControl w:val="0"/>
            <w:suppressAutoHyphens/>
            <w:autoSpaceDE w:val="0"/>
            <w:autoSpaceDN w:val="0"/>
            <w:spacing w:after="0" w:line="240" w:lineRule="auto"/>
            <w:ind w:left="708" w:right="424"/>
            <w:rPr>
              <w:rFonts w:eastAsia="SimSun" w:cstheme="minorHAnsi"/>
              <w:kern w:val="3"/>
              <w:sz w:val="16"/>
              <w:szCs w:val="16"/>
              <w:lang w:eastAsia="zh-CN" w:bidi="hi-IN"/>
            </w:rPr>
          </w:pPr>
          <w:r w:rsidRPr="00AC6F3E">
            <w:rPr>
              <w:rFonts w:eastAsia="MinionPro-Regular" w:cstheme="minorHAnsi"/>
              <w:kern w:val="3"/>
              <w:sz w:val="16"/>
              <w:szCs w:val="16"/>
              <w:lang w:eastAsia="zh-CN" w:bidi="hi-IN"/>
            </w:rPr>
            <w:t>MANSO DE LA TORRE, X.( 2020) . Os garranos e os páxaros: Simbiose mutualista na Serra da Groba. Páx 59-73. REM Nº 20 .IEM Vigo 2020</w:t>
          </w:r>
        </w:p>
        <w:p w14:paraId="27EB6CE1"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p>
        <w:p w14:paraId="0DBCC616"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Regular" w:cstheme="minorHAnsi"/>
              <w:kern w:val="3"/>
              <w:sz w:val="16"/>
              <w:szCs w:val="16"/>
              <w:lang w:eastAsia="zh-CN" w:bidi="hi-IN"/>
            </w:rPr>
            <w:t>PORTAS, M.C..P., VIEIRA e BRITO. N., SILVA CARVALHO, VIEIRA LEITE, J.M.</w:t>
          </w:r>
        </w:p>
        <w:p w14:paraId="1E08055F"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It" w:cstheme="minorHAnsi"/>
              <w:i/>
              <w:iCs/>
              <w:kern w:val="3"/>
              <w:sz w:val="16"/>
              <w:szCs w:val="16"/>
              <w:lang w:eastAsia="zh-CN" w:bidi="hi-IN"/>
            </w:rPr>
            <w:t>La conservación de la raza equina garrana</w:t>
          </w:r>
          <w:r w:rsidRPr="00AC6F3E">
            <w:rPr>
              <w:rFonts w:eastAsia="MinionPro-Regular" w:cstheme="minorHAnsi"/>
              <w:kern w:val="3"/>
              <w:sz w:val="16"/>
              <w:szCs w:val="16"/>
              <w:lang w:eastAsia="zh-CN" w:bidi="hi-IN"/>
            </w:rPr>
            <w:t>. Arquivos de zootecnia, vol. 50, num</w:t>
          </w:r>
        </w:p>
        <w:p w14:paraId="34C2DD03"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Regular" w:cstheme="minorHAnsi"/>
              <w:kern w:val="3"/>
              <w:sz w:val="16"/>
              <w:szCs w:val="16"/>
              <w:lang w:eastAsia="zh-CN" w:bidi="hi-IN"/>
            </w:rPr>
            <w:t>189-190. 2001.</w:t>
          </w:r>
        </w:p>
        <w:p w14:paraId="32A58B37"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p>
        <w:p w14:paraId="13DA8FA1"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Regular" w:cstheme="minorHAnsi"/>
              <w:kern w:val="3"/>
              <w:sz w:val="16"/>
              <w:szCs w:val="16"/>
              <w:lang w:eastAsia="zh-CN" w:bidi="hi-IN"/>
            </w:rPr>
            <w:t>PORTAS, M.C..P., VIEIRA e BRITO. N., SILVA CARVALHO, VIEIRA LEITE, J.M.</w:t>
          </w:r>
        </w:p>
        <w:p w14:paraId="42C4D460"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It" w:cstheme="minorHAnsi"/>
              <w:i/>
              <w:iCs/>
              <w:kern w:val="3"/>
              <w:sz w:val="16"/>
              <w:szCs w:val="16"/>
              <w:lang w:eastAsia="zh-CN" w:bidi="hi-IN"/>
            </w:rPr>
            <w:t>La conservación de la raza equina garrana</w:t>
          </w:r>
          <w:r w:rsidRPr="00AC6F3E">
            <w:rPr>
              <w:rFonts w:eastAsia="MinionPro-Regular" w:cstheme="minorHAnsi"/>
              <w:kern w:val="3"/>
              <w:sz w:val="16"/>
              <w:szCs w:val="16"/>
              <w:lang w:eastAsia="zh-CN" w:bidi="hi-IN"/>
            </w:rPr>
            <w:t>. Arquivos de zootecnia, vol. 50, num</w:t>
          </w:r>
        </w:p>
        <w:p w14:paraId="14144C42"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Regular" w:cstheme="minorHAnsi"/>
              <w:kern w:val="3"/>
              <w:sz w:val="16"/>
              <w:szCs w:val="16"/>
              <w:lang w:eastAsia="zh-CN" w:bidi="hi-IN"/>
            </w:rPr>
            <w:t>189-190. 2001.</w:t>
          </w:r>
        </w:p>
        <w:p w14:paraId="69BE2A3C"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p>
        <w:p w14:paraId="3F672AB8"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Regular" w:cstheme="minorHAnsi"/>
              <w:kern w:val="3"/>
              <w:sz w:val="16"/>
              <w:szCs w:val="16"/>
              <w:lang w:eastAsia="zh-CN" w:bidi="hi-IN"/>
            </w:rPr>
            <w:t>VIEIRA E BRITO, N. O garrano: Candidatura a Patrimonio Nacional. 2021 pax 191-205. En Percursos do homem e do Garrano. Leituraas interdisciplinares. Actas do seminario do Projecto. Cámara Municipal de Viana do Castelo , Viana do Castelo 2021.</w:t>
          </w:r>
        </w:p>
        <w:p w14:paraId="73DEB666"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p>
        <w:p w14:paraId="420853ED"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r w:rsidRPr="00AC6F3E">
            <w:rPr>
              <w:rFonts w:eastAsia="MinionPro-Regular" w:cstheme="minorHAnsi"/>
              <w:kern w:val="3"/>
              <w:sz w:val="16"/>
              <w:szCs w:val="16"/>
              <w:lang w:eastAsia="zh-CN" w:bidi="hi-IN"/>
            </w:rPr>
            <w:t>VIERIRA E BRITO, N. ; VIEIRA LEITE, J. 2011. “ Catro batidas” Ed. Instituto Politécnico de Viana do Castelo. Portugal. ISBN 978-989-97491-0-8.</w:t>
          </w:r>
        </w:p>
        <w:p w14:paraId="54888217" w14:textId="77777777" w:rsidR="00D62200" w:rsidRPr="00AC6F3E" w:rsidRDefault="00D62200" w:rsidP="00D62200">
          <w:pPr>
            <w:widowControl w:val="0"/>
            <w:suppressAutoHyphens/>
            <w:autoSpaceDE w:val="0"/>
            <w:autoSpaceDN w:val="0"/>
            <w:spacing w:after="0" w:line="240" w:lineRule="auto"/>
            <w:ind w:left="708" w:right="424"/>
            <w:rPr>
              <w:rFonts w:eastAsia="MinionPro-Regular" w:cstheme="minorHAnsi"/>
              <w:kern w:val="3"/>
              <w:sz w:val="16"/>
              <w:szCs w:val="16"/>
              <w:lang w:eastAsia="zh-CN" w:bidi="hi-IN"/>
            </w:rPr>
          </w:pPr>
        </w:p>
        <w:p w14:paraId="13F381C7" w14:textId="77777777" w:rsidR="00D62200" w:rsidRPr="00AC6F3E" w:rsidRDefault="00D62200" w:rsidP="00D62200">
          <w:pPr>
            <w:widowControl w:val="0"/>
            <w:suppressAutoHyphens/>
            <w:autoSpaceDE w:val="0"/>
            <w:autoSpaceDN w:val="0"/>
            <w:spacing w:after="0" w:line="240" w:lineRule="auto"/>
            <w:ind w:left="708" w:right="424"/>
            <w:rPr>
              <w:rFonts w:eastAsia="SimSun" w:cstheme="minorHAnsi"/>
              <w:kern w:val="3"/>
              <w:sz w:val="16"/>
              <w:szCs w:val="16"/>
              <w:lang w:eastAsia="zh-CN" w:bidi="hi-IN"/>
            </w:rPr>
          </w:pPr>
          <w:r w:rsidRPr="00AC6F3E">
            <w:rPr>
              <w:rFonts w:eastAsia="MinionPro-Regular" w:cstheme="minorHAnsi"/>
              <w:i/>
              <w:iCs/>
              <w:kern w:val="3"/>
              <w:sz w:val="16"/>
              <w:szCs w:val="16"/>
              <w:lang w:eastAsia="zh-CN" w:bidi="hi-IN"/>
            </w:rPr>
            <w:t xml:space="preserve">WILLIAMS, WENDY. </w:t>
          </w:r>
          <w:r w:rsidRPr="00AC6F3E">
            <w:rPr>
              <w:rFonts w:eastAsia="MinionPro-It" w:cstheme="minorHAnsi"/>
              <w:i/>
              <w:iCs/>
              <w:kern w:val="3"/>
              <w:sz w:val="16"/>
              <w:szCs w:val="16"/>
              <w:lang w:eastAsia="zh-CN" w:bidi="hi-IN"/>
            </w:rPr>
            <w:t>The Horse. The epic history of our noble companion</w:t>
          </w:r>
          <w:r w:rsidRPr="00AC6F3E">
            <w:rPr>
              <w:rFonts w:eastAsia="MinionPro-Regular" w:cstheme="minorHAnsi"/>
              <w:i/>
              <w:iCs/>
              <w:kern w:val="3"/>
              <w:sz w:val="16"/>
              <w:szCs w:val="16"/>
              <w:lang w:eastAsia="zh-CN" w:bidi="hi-IN"/>
            </w:rPr>
            <w:t>. Scientific</w:t>
          </w:r>
        </w:p>
        <w:p w14:paraId="7FC66576" w14:textId="77777777" w:rsidR="00D62200" w:rsidRPr="00AC6F3E" w:rsidRDefault="00D62200" w:rsidP="00D62200">
          <w:pPr>
            <w:widowControl w:val="0"/>
            <w:suppressAutoHyphens/>
            <w:autoSpaceDE w:val="0"/>
            <w:autoSpaceDN w:val="0"/>
            <w:spacing w:after="0" w:line="240" w:lineRule="auto"/>
            <w:ind w:left="708" w:right="424"/>
            <w:rPr>
              <w:rFonts w:eastAsia="SimSun" w:cstheme="minorHAnsi"/>
              <w:kern w:val="3"/>
              <w:sz w:val="16"/>
              <w:szCs w:val="16"/>
              <w:lang w:eastAsia="zh-CN" w:bidi="hi-IN"/>
            </w:rPr>
          </w:pPr>
          <w:r w:rsidRPr="00AC6F3E">
            <w:rPr>
              <w:rFonts w:eastAsia="MinionPro-Regular" w:cstheme="minorHAnsi"/>
              <w:kern w:val="3"/>
              <w:sz w:val="16"/>
              <w:szCs w:val="16"/>
              <w:lang w:eastAsia="zh-CN" w:bidi="hi-IN"/>
            </w:rPr>
            <w:t>American / Farrar, Straus and Girou. 2016</w:t>
          </w:r>
        </w:p>
        <w:p w14:paraId="792F6C94" w14:textId="77777777" w:rsidR="00D62200" w:rsidRPr="00AC6F3E" w:rsidRDefault="00D62200" w:rsidP="00D62200">
          <w:pPr>
            <w:widowControl w:val="0"/>
            <w:suppressAutoHyphens/>
            <w:autoSpaceDE w:val="0"/>
            <w:autoSpaceDN w:val="0"/>
            <w:spacing w:after="0" w:line="240" w:lineRule="auto"/>
            <w:ind w:left="708" w:right="424"/>
            <w:rPr>
              <w:rFonts w:eastAsia="SimSun" w:cstheme="minorHAnsi"/>
              <w:kern w:val="3"/>
              <w:sz w:val="16"/>
              <w:szCs w:val="16"/>
              <w:lang w:eastAsia="zh-CN" w:bidi="hi-IN"/>
            </w:rPr>
          </w:pPr>
          <w:r w:rsidRPr="00AC6F3E">
            <w:rPr>
              <w:rFonts w:eastAsia="SimSun" w:cstheme="minorHAnsi"/>
              <w:kern w:val="3"/>
              <w:sz w:val="16"/>
              <w:szCs w:val="16"/>
              <w:lang w:eastAsia="zh-CN" w:bidi="hi-IN"/>
            </w:rPr>
            <w:t>HARTIGAN, JOHN JR. Shaving the Beasts: Wild Horse and Ritual in Spain.</w:t>
          </w:r>
        </w:p>
        <w:p w14:paraId="0F8489F6" w14:textId="01F2BEE3" w:rsidR="00D62200" w:rsidRDefault="00D62200" w:rsidP="00D62200">
          <w:pPr>
            <w:ind w:left="708" w:right="424"/>
          </w:pPr>
          <w:r w:rsidRPr="00AC6F3E">
            <w:rPr>
              <w:rFonts w:cstheme="minorHAnsi"/>
              <w:sz w:val="16"/>
              <w:szCs w:val="16"/>
            </w:rPr>
            <w:t xml:space="preserve">  </w:t>
          </w:r>
          <w:r w:rsidRPr="00AC6F3E">
            <w:rPr>
              <w:rStyle w:val="a-text-bold"/>
              <w:rFonts w:cstheme="minorHAnsi"/>
              <w:sz w:val="16"/>
              <w:szCs w:val="16"/>
            </w:rPr>
            <w:t xml:space="preserve">Editorial ‏ : ‎ </w:t>
          </w:r>
          <w:r w:rsidRPr="00AC6F3E">
            <w:rPr>
              <w:rStyle w:val="a-list-item"/>
              <w:rFonts w:cstheme="minorHAnsi"/>
              <w:sz w:val="16"/>
              <w:szCs w:val="16"/>
            </w:rPr>
            <w:t>University of Minnesota Press (17 noviembre 2020)</w:t>
          </w:r>
        </w:p>
      </w:sdtContent>
    </w:sdt>
    <w:p w14:paraId="6D5158D2" w14:textId="786C02A7" w:rsidR="00D62200" w:rsidRPr="00CB5DB4" w:rsidRDefault="00D62200" w:rsidP="00D62200">
      <w:pPr>
        <w:pStyle w:val="Default"/>
        <w:numPr>
          <w:ilvl w:val="0"/>
          <w:numId w:val="11"/>
        </w:numPr>
        <w:shd w:val="clear" w:color="auto" w:fill="C6D9F1"/>
        <w:spacing w:before="120"/>
        <w:ind w:left="1843" w:right="424" w:hanging="1843"/>
        <w:jc w:val="both"/>
        <w:outlineLvl w:val="0"/>
        <w:rPr>
          <w:rFonts w:ascii="Calibri" w:hAnsi="Calibri" w:cs="Calibri"/>
          <w:b/>
          <w:bCs/>
        </w:rPr>
      </w:pPr>
      <w:bookmarkStart w:id="468" w:name="_Toc132511041"/>
      <w:r>
        <w:rPr>
          <w:rFonts w:ascii="Calibri" w:hAnsi="Calibri" w:cs="Calibri"/>
          <w:b/>
          <w:bCs/>
        </w:rPr>
        <w:t>Fallas graves na revisión bibliográfica e na elaboración do proxecto de avaliación</w:t>
      </w:r>
      <w:r w:rsidRPr="001D3022">
        <w:rPr>
          <w:rFonts w:ascii="Calibri" w:hAnsi="Calibri" w:cs="Calibri"/>
          <w:b/>
          <w:bCs/>
          <w:i/>
        </w:rPr>
        <w:t>.</w:t>
      </w:r>
      <w:bookmarkEnd w:id="468"/>
      <w:r>
        <w:rPr>
          <w:rFonts w:ascii="Calibri" w:hAnsi="Calibri" w:cs="Calibri"/>
          <w:b/>
          <w:bCs/>
        </w:rPr>
        <w:t xml:space="preserve"> </w:t>
      </w:r>
    </w:p>
    <w:p w14:paraId="0E75568D" w14:textId="77777777" w:rsidR="00D62200" w:rsidRDefault="00D62200" w:rsidP="00D62200">
      <w:pPr>
        <w:autoSpaceDE w:val="0"/>
        <w:autoSpaceDN w:val="0"/>
        <w:adjustRightInd w:val="0"/>
        <w:spacing w:after="0" w:line="240" w:lineRule="auto"/>
        <w:ind w:right="424"/>
        <w:jc w:val="both"/>
        <w:rPr>
          <w:rStyle w:val="a-list-item"/>
          <w:rFonts w:cstheme="minorHAnsi"/>
          <w:sz w:val="24"/>
          <w:szCs w:val="24"/>
        </w:rPr>
      </w:pPr>
    </w:p>
    <w:p w14:paraId="1C1BE3E9" w14:textId="77777777" w:rsidR="00D62200" w:rsidRDefault="00D62200" w:rsidP="00D62200">
      <w:pPr>
        <w:autoSpaceDE w:val="0"/>
        <w:autoSpaceDN w:val="0"/>
        <w:adjustRightInd w:val="0"/>
        <w:spacing w:after="0" w:line="240" w:lineRule="auto"/>
        <w:ind w:right="424"/>
        <w:jc w:val="both"/>
        <w:rPr>
          <w:rFonts w:cstheme="minorHAnsi"/>
          <w:sz w:val="24"/>
          <w:szCs w:val="24"/>
        </w:rPr>
      </w:pPr>
      <w:r w:rsidRPr="00AE5B8F">
        <w:rPr>
          <w:rStyle w:val="a-list-item"/>
          <w:rFonts w:cstheme="minorHAnsi"/>
          <w:sz w:val="24"/>
          <w:szCs w:val="24"/>
        </w:rPr>
        <w:t xml:space="preserve">Tal como se indica no apartado 5.1  do proxecto de avaliación arqueolóxica (páx 916) </w:t>
      </w:r>
      <w:r w:rsidRPr="00594458">
        <w:rPr>
          <w:rStyle w:val="a-list-item"/>
          <w:rFonts w:cstheme="minorHAnsi"/>
          <w:i/>
          <w:sz w:val="24"/>
          <w:szCs w:val="24"/>
        </w:rPr>
        <w:t>“</w:t>
      </w:r>
      <w:r w:rsidRPr="00594458">
        <w:rPr>
          <w:rFonts w:cstheme="minorHAnsi"/>
          <w:i/>
          <w:sz w:val="24"/>
          <w:szCs w:val="24"/>
        </w:rPr>
        <w:t>Revisión da documentación bibliográfica, traballos de investigación anteriores e</w:t>
      </w:r>
      <w:r>
        <w:rPr>
          <w:rFonts w:cstheme="minorHAnsi"/>
          <w:i/>
          <w:sz w:val="24"/>
          <w:szCs w:val="24"/>
        </w:rPr>
        <w:t xml:space="preserve"> </w:t>
      </w:r>
      <w:r w:rsidRPr="00594458">
        <w:rPr>
          <w:rFonts w:cstheme="minorHAnsi"/>
          <w:i/>
          <w:sz w:val="24"/>
          <w:szCs w:val="24"/>
        </w:rPr>
        <w:t>documentación municipal</w:t>
      </w:r>
      <w:r>
        <w:rPr>
          <w:rFonts w:cstheme="minorHAnsi"/>
          <w:i/>
          <w:sz w:val="24"/>
          <w:szCs w:val="24"/>
        </w:rPr>
        <w:t>”</w:t>
      </w:r>
      <w:r w:rsidRPr="00AE5B8F">
        <w:rPr>
          <w:rFonts w:cstheme="minorHAnsi"/>
          <w:sz w:val="24"/>
          <w:szCs w:val="24"/>
        </w:rPr>
        <w:t>,</w:t>
      </w:r>
      <w:r>
        <w:rPr>
          <w:rFonts w:cstheme="minorHAnsi"/>
          <w:sz w:val="24"/>
          <w:szCs w:val="24"/>
        </w:rPr>
        <w:t xml:space="preserve"> habería que ver ademáis da información urbanística dos concellos, os traballos que sobre a zona teñen publicado diversos autores sobre o patrimonio a avaliar, nomeadamente sobre o maior ben afectado, os garranos e os curros, e tamén o patrimonio arqueolóxico da zona, non só o reflictido no Plan Básico Autonómico da Xunta, que todos os profesionais da arqueoloxía saben que adoece de graves erros tantos de cantidade de bens catalogados como de precisión na ubicación dos mesmos, como puxo de manifesto o Instituto de Estudos Miñoráns, presentando denuncia </w:t>
      </w:r>
      <w:r w:rsidRPr="003C1C9A">
        <w:rPr>
          <w:rFonts w:cstheme="minorHAnsi"/>
          <w:sz w:val="24"/>
          <w:szCs w:val="24"/>
        </w:rPr>
        <w:t>ante a Dirección Xeral de Patrimonio</w:t>
      </w:r>
      <w:r>
        <w:rPr>
          <w:rFonts w:cstheme="minorHAnsi"/>
          <w:sz w:val="24"/>
          <w:szCs w:val="24"/>
        </w:rPr>
        <w:t xml:space="preserve"> </w:t>
      </w:r>
      <w:r w:rsidRPr="003C1C9A">
        <w:rPr>
          <w:rFonts w:cstheme="minorHAnsi"/>
          <w:sz w:val="24"/>
          <w:szCs w:val="24"/>
        </w:rPr>
        <w:t>o 27 de febre</w:t>
      </w:r>
      <w:r>
        <w:rPr>
          <w:rFonts w:cstheme="minorHAnsi"/>
          <w:sz w:val="24"/>
          <w:szCs w:val="24"/>
        </w:rPr>
        <w:t>i</w:t>
      </w:r>
      <w:r w:rsidRPr="003C1C9A">
        <w:rPr>
          <w:rFonts w:cstheme="minorHAnsi"/>
          <w:sz w:val="24"/>
          <w:szCs w:val="24"/>
        </w:rPr>
        <w:t>ro do 2023 (nº rexistro de entrada 2023/660246)</w:t>
      </w:r>
      <w:r>
        <w:rPr>
          <w:rFonts w:cstheme="minorHAnsi"/>
          <w:sz w:val="24"/>
          <w:szCs w:val="24"/>
        </w:rPr>
        <w:t xml:space="preserve">, </w:t>
      </w:r>
      <w:r w:rsidRPr="003C1C9A">
        <w:rPr>
          <w:rFonts w:cstheme="minorHAnsi"/>
          <w:sz w:val="24"/>
          <w:szCs w:val="24"/>
        </w:rPr>
        <w:t>á que se engadirón fichas de patrimonio sen catalogar.  Data e rexistro de entrada</w:t>
      </w:r>
    </w:p>
    <w:p w14:paraId="7503133F" w14:textId="77777777" w:rsidR="00D62200" w:rsidRDefault="00D62200" w:rsidP="00D62200">
      <w:pPr>
        <w:autoSpaceDE w:val="0"/>
        <w:autoSpaceDN w:val="0"/>
        <w:adjustRightInd w:val="0"/>
        <w:spacing w:after="0" w:line="240" w:lineRule="auto"/>
        <w:ind w:right="424"/>
        <w:jc w:val="both"/>
        <w:rPr>
          <w:rFonts w:cstheme="minorHAnsi"/>
          <w:sz w:val="24"/>
          <w:szCs w:val="24"/>
        </w:rPr>
      </w:pPr>
    </w:p>
    <w:p w14:paraId="12063B2B" w14:textId="77777777" w:rsidR="00D62200" w:rsidRDefault="00D62200" w:rsidP="00D62200">
      <w:pPr>
        <w:pStyle w:val="Prrafodelista"/>
        <w:ind w:left="0" w:right="424"/>
        <w:jc w:val="both"/>
        <w:rPr>
          <w:rFonts w:cstheme="minorHAnsi"/>
          <w:sz w:val="24"/>
          <w:szCs w:val="24"/>
        </w:rPr>
      </w:pPr>
      <w:r>
        <w:rPr>
          <w:rFonts w:cstheme="minorHAnsi"/>
          <w:sz w:val="24"/>
          <w:szCs w:val="24"/>
        </w:rPr>
        <w:lastRenderedPageBreak/>
        <w:t xml:space="preserve">Na </w:t>
      </w:r>
      <w:r w:rsidRPr="00F53389">
        <w:rPr>
          <w:rFonts w:cstheme="minorHAnsi"/>
          <w:sz w:val="24"/>
          <w:szCs w:val="24"/>
        </w:rPr>
        <w:t>alegación anterior</w:t>
      </w:r>
      <w:r>
        <w:rPr>
          <w:rFonts w:cstheme="minorHAnsi"/>
          <w:sz w:val="24"/>
          <w:szCs w:val="24"/>
        </w:rPr>
        <w:t xml:space="preserve"> deste mesmo documento engadese alguna bibliografía específica sobre os garranos e os curros, importante para avaliar con coñecemento de causa os bens afectados, e tamén engadimos unha fundamental que fala do grande número de patrimonio sen catalogar na zona, e das posibilidades da aparicións de outros novos. </w:t>
      </w:r>
    </w:p>
    <w:p w14:paraId="1418AE06" w14:textId="77777777" w:rsidR="00D62200" w:rsidRDefault="00D62200" w:rsidP="00D62200">
      <w:pPr>
        <w:pStyle w:val="Prrafodelista"/>
        <w:ind w:left="0" w:right="424"/>
        <w:jc w:val="both"/>
        <w:rPr>
          <w:rFonts w:cstheme="minorHAnsi"/>
          <w:sz w:val="24"/>
          <w:szCs w:val="24"/>
        </w:rPr>
      </w:pPr>
    </w:p>
    <w:p w14:paraId="11D8E803" w14:textId="77777777" w:rsidR="00D62200" w:rsidRDefault="00D62200" w:rsidP="00D62200">
      <w:pPr>
        <w:pStyle w:val="Prrafodelista"/>
        <w:ind w:left="0" w:right="424"/>
        <w:jc w:val="both"/>
        <w:rPr>
          <w:rFonts w:cstheme="minorHAnsi"/>
          <w:sz w:val="24"/>
          <w:szCs w:val="24"/>
        </w:rPr>
      </w:pPr>
      <w:r>
        <w:rPr>
          <w:rFonts w:cstheme="minorHAnsi"/>
          <w:sz w:val="24"/>
          <w:szCs w:val="24"/>
        </w:rPr>
        <w:t xml:space="preserve">Esta </w:t>
      </w:r>
      <w:hyperlink r:id="rId81" w:history="1">
        <w:r w:rsidRPr="00594458">
          <w:rPr>
            <w:rStyle w:val="Hipervnculo"/>
            <w:rFonts w:cstheme="minorHAnsi"/>
            <w:sz w:val="24"/>
            <w:szCs w:val="24"/>
          </w:rPr>
          <w:t>tese de doutoramento de Alia Vazquez Martíne</w:t>
        </w:r>
        <w:r>
          <w:rPr>
            <w:rStyle w:val="Hipervnculo"/>
            <w:rFonts w:cstheme="minorHAnsi"/>
            <w:sz w:val="24"/>
            <w:szCs w:val="24"/>
          </w:rPr>
          <w:t>z</w:t>
        </w:r>
      </w:hyperlink>
      <w:r>
        <w:rPr>
          <w:rStyle w:val="Refdenotaalpie"/>
          <w:rFonts w:cstheme="minorHAnsi"/>
          <w:sz w:val="24"/>
          <w:szCs w:val="24"/>
        </w:rPr>
        <w:footnoteReference w:id="64"/>
      </w:r>
      <w:r>
        <w:rPr>
          <w:rFonts w:cstheme="minorHAnsi"/>
          <w:sz w:val="24"/>
          <w:szCs w:val="24"/>
        </w:rPr>
        <w:t>, está ao público no repositorio da USC dende o ano 2019, e é unha das fontes as que deberían ter recurrido as autoras do proxecto de avaliación, xuntos con outras fontes, para constatar o que poderíamos chamar como unha zona quente ou de gran densidade de patrimonio arqueolóxico.</w:t>
      </w:r>
    </w:p>
    <w:p w14:paraId="494967AC" w14:textId="77777777" w:rsidR="00D62200" w:rsidRDefault="00D62200" w:rsidP="00D62200">
      <w:pPr>
        <w:pStyle w:val="Prrafodelista"/>
        <w:ind w:left="0" w:right="424"/>
        <w:jc w:val="both"/>
        <w:rPr>
          <w:rFonts w:cstheme="minorHAnsi"/>
          <w:sz w:val="24"/>
          <w:szCs w:val="24"/>
        </w:rPr>
      </w:pPr>
    </w:p>
    <w:p w14:paraId="201B0E3F" w14:textId="77777777" w:rsidR="00D62200" w:rsidRDefault="00D62200" w:rsidP="00D62200">
      <w:pPr>
        <w:pStyle w:val="Prrafodelista"/>
        <w:ind w:left="0" w:right="424"/>
        <w:jc w:val="both"/>
        <w:rPr>
          <w:rFonts w:cstheme="minorHAnsi"/>
          <w:sz w:val="24"/>
          <w:szCs w:val="24"/>
        </w:rPr>
      </w:pPr>
      <w:r>
        <w:rPr>
          <w:rFonts w:cstheme="minorHAnsi"/>
          <w:sz w:val="24"/>
          <w:szCs w:val="24"/>
        </w:rPr>
        <w:t>A zona na que se pretende ubicar os aeorxeradores 1, 2, 3 e 4 está nesa zona quente, de gran densidade de puntos arqueolóxicos coñecidos e susceptible de aparición de máis.</w:t>
      </w:r>
    </w:p>
    <w:p w14:paraId="48FE5BC8" w14:textId="77777777" w:rsidR="00D62200" w:rsidRDefault="00D62200" w:rsidP="00D62200">
      <w:pPr>
        <w:pStyle w:val="Prrafodelista"/>
        <w:ind w:left="0" w:right="424"/>
        <w:jc w:val="both"/>
        <w:rPr>
          <w:rFonts w:cstheme="minorHAnsi"/>
          <w:sz w:val="24"/>
          <w:szCs w:val="24"/>
        </w:rPr>
      </w:pPr>
    </w:p>
    <w:p w14:paraId="6113D9C7" w14:textId="77777777" w:rsidR="00D62200" w:rsidRDefault="00D62200" w:rsidP="00D62200">
      <w:pPr>
        <w:pStyle w:val="Prrafodelista"/>
        <w:ind w:left="0" w:right="424"/>
        <w:jc w:val="both"/>
        <w:rPr>
          <w:rFonts w:cstheme="minorHAnsi"/>
          <w:sz w:val="24"/>
          <w:szCs w:val="24"/>
        </w:rPr>
      </w:pPr>
      <w:r>
        <w:rPr>
          <w:rFonts w:cstheme="minorHAnsi"/>
          <w:sz w:val="24"/>
          <w:szCs w:val="24"/>
        </w:rPr>
        <w:t>Con estes datos, temos que calificar como de non fiable o traballo de avaliación arqueolóxica feito, e polo tanto, rexeitable.</w:t>
      </w:r>
    </w:p>
    <w:p w14:paraId="51968421" w14:textId="77777777" w:rsidR="00D62200" w:rsidRDefault="00D62200" w:rsidP="00D62200">
      <w:pPr>
        <w:pStyle w:val="Prrafodelista"/>
        <w:ind w:left="927" w:right="424"/>
        <w:rPr>
          <w:rFonts w:cstheme="minorHAnsi"/>
          <w:sz w:val="24"/>
          <w:szCs w:val="24"/>
        </w:rPr>
      </w:pPr>
    </w:p>
    <w:p w14:paraId="1657C1DA" w14:textId="77777777" w:rsidR="00D62200" w:rsidRPr="00AE5B8F" w:rsidRDefault="00D62200" w:rsidP="00D62200">
      <w:pPr>
        <w:pStyle w:val="Prrafodelista"/>
        <w:ind w:left="927" w:right="424"/>
        <w:rPr>
          <w:rStyle w:val="a-list-item"/>
          <w:rFonts w:cstheme="minorHAnsi"/>
          <w:sz w:val="24"/>
          <w:szCs w:val="24"/>
        </w:rPr>
      </w:pPr>
      <w:r>
        <w:rPr>
          <w:noProof/>
          <w:lang w:eastAsia="es-ES"/>
        </w:rPr>
        <w:drawing>
          <wp:inline distT="0" distB="0" distL="0" distR="0" wp14:anchorId="152DAEBB" wp14:editId="1494EED0">
            <wp:extent cx="3770616" cy="5015284"/>
            <wp:effectExtent l="0" t="0" r="190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3805241" cy="5061338"/>
                    </a:xfrm>
                    <a:prstGeom prst="rect">
                      <a:avLst/>
                    </a:prstGeom>
                    <a:ln>
                      <a:noFill/>
                    </a:ln>
                    <a:extLst>
                      <a:ext uri="{53640926-AAD7-44D8-BBD7-CCE9431645EC}">
                        <a14:shadowObscured xmlns:a14="http://schemas.microsoft.com/office/drawing/2010/main"/>
                      </a:ext>
                    </a:extLst>
                  </pic:spPr>
                </pic:pic>
              </a:graphicData>
            </a:graphic>
          </wp:inline>
        </w:drawing>
      </w:r>
    </w:p>
    <w:p w14:paraId="3FB49632" w14:textId="77777777" w:rsidR="00D62200" w:rsidRPr="00AE5B8F" w:rsidRDefault="00D62200" w:rsidP="00D62200">
      <w:pPr>
        <w:ind w:left="360" w:right="424"/>
        <w:rPr>
          <w:rStyle w:val="a-list-item"/>
          <w:rFonts w:cstheme="minorHAnsi"/>
        </w:rPr>
      </w:pPr>
    </w:p>
    <w:p w14:paraId="0DF2D961" w14:textId="77777777" w:rsidR="00D62200" w:rsidRDefault="00D62200" w:rsidP="00D62200">
      <w:pPr>
        <w:ind w:right="424"/>
      </w:pPr>
      <w:r>
        <w:rPr>
          <w:noProof/>
          <w:lang w:eastAsia="es-ES"/>
        </w:rPr>
        <w:lastRenderedPageBreak/>
        <w:drawing>
          <wp:inline distT="0" distB="0" distL="0" distR="0" wp14:anchorId="309A61DA" wp14:editId="2DA8BC31">
            <wp:extent cx="4741985" cy="6318607"/>
            <wp:effectExtent l="0" t="0" r="1905"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4786466" cy="6377877"/>
                    </a:xfrm>
                    <a:prstGeom prst="rect">
                      <a:avLst/>
                    </a:prstGeom>
                    <a:ln>
                      <a:noFill/>
                    </a:ln>
                    <a:extLst>
                      <a:ext uri="{53640926-AAD7-44D8-BBD7-CCE9431645EC}">
                        <a14:shadowObscured xmlns:a14="http://schemas.microsoft.com/office/drawing/2010/main"/>
                      </a:ext>
                    </a:extLst>
                  </pic:spPr>
                </pic:pic>
              </a:graphicData>
            </a:graphic>
          </wp:inline>
        </w:drawing>
      </w:r>
    </w:p>
    <w:p w14:paraId="388A1037" w14:textId="77777777" w:rsidR="00D62200" w:rsidRDefault="00D62200" w:rsidP="00D62200">
      <w:pPr>
        <w:ind w:right="424"/>
      </w:pPr>
      <w:r>
        <w:rPr>
          <w:noProof/>
          <w:lang w:eastAsia="es-ES"/>
        </w:rPr>
        <w:lastRenderedPageBreak/>
        <w:drawing>
          <wp:inline distT="0" distB="0" distL="0" distR="0" wp14:anchorId="3D486F07" wp14:editId="1ED84779">
            <wp:extent cx="4027469" cy="5740263"/>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4072644" cy="5804650"/>
                    </a:xfrm>
                    <a:prstGeom prst="rect">
                      <a:avLst/>
                    </a:prstGeom>
                    <a:ln>
                      <a:noFill/>
                    </a:ln>
                    <a:extLst>
                      <a:ext uri="{53640926-AAD7-44D8-BBD7-CCE9431645EC}">
                        <a14:shadowObscured xmlns:a14="http://schemas.microsoft.com/office/drawing/2010/main"/>
                      </a:ext>
                    </a:extLst>
                  </pic:spPr>
                </pic:pic>
              </a:graphicData>
            </a:graphic>
          </wp:inline>
        </w:drawing>
      </w:r>
    </w:p>
    <w:p w14:paraId="239CEDBE" w14:textId="77777777" w:rsidR="00D62200" w:rsidRDefault="00D62200" w:rsidP="00D62200">
      <w:pPr>
        <w:ind w:right="424"/>
      </w:pPr>
      <w:r>
        <w:rPr>
          <w:noProof/>
          <w:lang w:eastAsia="es-ES"/>
        </w:rPr>
        <w:lastRenderedPageBreak/>
        <w:drawing>
          <wp:inline distT="0" distB="0" distL="0" distR="0" wp14:anchorId="6A3A9DF5" wp14:editId="65CAB843">
            <wp:extent cx="4058292" cy="5825526"/>
            <wp:effectExtent l="0" t="0" r="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4101354" cy="5887339"/>
                    </a:xfrm>
                    <a:prstGeom prst="rect">
                      <a:avLst/>
                    </a:prstGeom>
                    <a:ln>
                      <a:noFill/>
                    </a:ln>
                    <a:extLst>
                      <a:ext uri="{53640926-AAD7-44D8-BBD7-CCE9431645EC}">
                        <a14:shadowObscured xmlns:a14="http://schemas.microsoft.com/office/drawing/2010/main"/>
                      </a:ext>
                    </a:extLst>
                  </pic:spPr>
                </pic:pic>
              </a:graphicData>
            </a:graphic>
          </wp:inline>
        </w:drawing>
      </w:r>
    </w:p>
    <w:p w14:paraId="56594ABE" w14:textId="77777777" w:rsidR="00D62200" w:rsidRDefault="00D62200" w:rsidP="00D62200">
      <w:pPr>
        <w:ind w:right="424"/>
      </w:pPr>
    </w:p>
    <w:p w14:paraId="3A95481F" w14:textId="77777777" w:rsidR="00D62200" w:rsidRPr="00CB5DB4" w:rsidRDefault="00D62200" w:rsidP="00090AB5">
      <w:pPr>
        <w:pStyle w:val="Default"/>
        <w:numPr>
          <w:ilvl w:val="0"/>
          <w:numId w:val="11"/>
        </w:numPr>
        <w:shd w:val="clear" w:color="auto" w:fill="C6D9F1"/>
        <w:spacing w:before="120"/>
        <w:ind w:left="1985" w:right="424" w:hanging="1985"/>
        <w:jc w:val="both"/>
        <w:outlineLvl w:val="0"/>
        <w:rPr>
          <w:rFonts w:ascii="Calibri" w:hAnsi="Calibri" w:cs="Calibri"/>
          <w:b/>
          <w:bCs/>
        </w:rPr>
      </w:pPr>
      <w:bookmarkStart w:id="469" w:name="_Toc132511042"/>
      <w:r>
        <w:rPr>
          <w:rFonts w:ascii="Calibri" w:hAnsi="Calibri" w:cs="Calibri"/>
          <w:b/>
          <w:bCs/>
        </w:rPr>
        <w:t>Fallas graves na revisión e denominación toponímica, que inducen a graves errors.</w:t>
      </w:r>
      <w:bookmarkEnd w:id="469"/>
    </w:p>
    <w:p w14:paraId="0BFC92B9" w14:textId="77777777" w:rsidR="00D62200" w:rsidRDefault="00D62200" w:rsidP="00D62200">
      <w:pPr>
        <w:ind w:right="424"/>
      </w:pPr>
    </w:p>
    <w:p w14:paraId="7395854A" w14:textId="77777777" w:rsidR="00D62200" w:rsidRDefault="00D62200" w:rsidP="00D62200">
      <w:pPr>
        <w:autoSpaceDE w:val="0"/>
        <w:autoSpaceDN w:val="0"/>
        <w:adjustRightInd w:val="0"/>
        <w:spacing w:after="0" w:line="240" w:lineRule="auto"/>
        <w:ind w:right="424"/>
        <w:jc w:val="both"/>
        <w:rPr>
          <w:rFonts w:ascii="Times New Roman" w:hAnsi="Times New Roman"/>
          <w:sz w:val="24"/>
          <w:szCs w:val="24"/>
        </w:rPr>
      </w:pPr>
      <w:r w:rsidRPr="007113CB">
        <w:rPr>
          <w:rFonts w:ascii="Times New Roman" w:hAnsi="Times New Roman"/>
          <w:sz w:val="24"/>
          <w:szCs w:val="24"/>
        </w:rPr>
        <w:t>No punto 5.1 no apartado 5 do proxecto arqueolóxico que fala das fases do traballo, traballo de gabinete,</w:t>
      </w:r>
      <w:r>
        <w:rPr>
          <w:rFonts w:ascii="Times New Roman" w:hAnsi="Times New Roman"/>
          <w:sz w:val="24"/>
          <w:szCs w:val="24"/>
        </w:rPr>
        <w:t xml:space="preserve"> </w:t>
      </w:r>
      <w:r w:rsidRPr="007113CB">
        <w:rPr>
          <w:rFonts w:ascii="Times New Roman" w:hAnsi="Times New Roman"/>
          <w:sz w:val="24"/>
          <w:szCs w:val="24"/>
        </w:rPr>
        <w:t>(p</w:t>
      </w:r>
      <w:r>
        <w:rPr>
          <w:rFonts w:ascii="Times New Roman" w:hAnsi="Times New Roman"/>
          <w:sz w:val="24"/>
          <w:szCs w:val="24"/>
        </w:rPr>
        <w:t>á</w:t>
      </w:r>
      <w:r w:rsidRPr="007113CB">
        <w:rPr>
          <w:rFonts w:ascii="Times New Roman" w:hAnsi="Times New Roman"/>
          <w:sz w:val="24"/>
          <w:szCs w:val="24"/>
        </w:rPr>
        <w:t>x. 916) Estudio da toponimia maior e menor usando para esto, ademais dos mapas</w:t>
      </w:r>
      <w:r>
        <w:rPr>
          <w:rFonts w:ascii="Times New Roman" w:hAnsi="Times New Roman"/>
          <w:sz w:val="24"/>
          <w:szCs w:val="24"/>
        </w:rPr>
        <w:t xml:space="preserve"> </w:t>
      </w:r>
      <w:r w:rsidRPr="007113CB">
        <w:rPr>
          <w:rFonts w:ascii="Times New Roman" w:hAnsi="Times New Roman"/>
          <w:sz w:val="24"/>
          <w:szCs w:val="24"/>
        </w:rPr>
        <w:t>cartográficos, a recollida na documentación do proxecto construtivo</w:t>
      </w:r>
      <w:r>
        <w:rPr>
          <w:rFonts w:ascii="Times New Roman" w:hAnsi="Times New Roman"/>
          <w:sz w:val="24"/>
          <w:szCs w:val="24"/>
        </w:rPr>
        <w:t>,</w:t>
      </w:r>
    </w:p>
    <w:p w14:paraId="4A277007" w14:textId="77777777" w:rsidR="00D62200" w:rsidRDefault="00D62200" w:rsidP="00D62200">
      <w:pPr>
        <w:autoSpaceDE w:val="0"/>
        <w:autoSpaceDN w:val="0"/>
        <w:adjustRightInd w:val="0"/>
        <w:spacing w:after="0" w:line="240" w:lineRule="auto"/>
        <w:ind w:right="424"/>
        <w:jc w:val="both"/>
        <w:rPr>
          <w:rFonts w:ascii="Times New Roman" w:hAnsi="Times New Roman"/>
          <w:sz w:val="24"/>
          <w:szCs w:val="24"/>
        </w:rPr>
      </w:pPr>
      <w:r>
        <w:rPr>
          <w:rFonts w:ascii="Times New Roman" w:hAnsi="Times New Roman"/>
          <w:sz w:val="24"/>
          <w:szCs w:val="24"/>
        </w:rPr>
        <w:t>t</w:t>
      </w:r>
      <w:r w:rsidRPr="007113CB">
        <w:rPr>
          <w:rFonts w:ascii="Times New Roman" w:hAnsi="Times New Roman"/>
          <w:sz w:val="24"/>
          <w:szCs w:val="24"/>
        </w:rPr>
        <w:t xml:space="preserve">odo o proxecto utiliza toponimia errada e deslocalizada, co que induce a erros na revisión </w:t>
      </w:r>
      <w:r>
        <w:rPr>
          <w:rFonts w:ascii="Times New Roman" w:hAnsi="Times New Roman"/>
          <w:sz w:val="24"/>
          <w:szCs w:val="24"/>
        </w:rPr>
        <w:t xml:space="preserve">e localización dos elementos analizados, así como a deturpación do propio patrimonio inmaterial, que por outra parte debería ser tratado como un elemento máis a protexer e que neste caso, está perfectamente recollida e reflexada na </w:t>
      </w:r>
      <w:hyperlink r:id="rId86" w:history="1">
        <w:r w:rsidRPr="00386A6A">
          <w:rPr>
            <w:rStyle w:val="Hipervnculo"/>
            <w:sz w:val="24"/>
            <w:szCs w:val="24"/>
          </w:rPr>
          <w:t>páxina oficial da Xunta de Galicia</w:t>
        </w:r>
      </w:hyperlink>
      <w:r>
        <w:rPr>
          <w:rStyle w:val="Refdenotaalpie"/>
          <w:rFonts w:ascii="Times New Roman" w:hAnsi="Times New Roman"/>
          <w:sz w:val="24"/>
          <w:szCs w:val="24"/>
        </w:rPr>
        <w:footnoteReference w:id="65"/>
      </w:r>
      <w:r>
        <w:rPr>
          <w:rFonts w:ascii="Times New Roman" w:hAnsi="Times New Roman"/>
          <w:sz w:val="24"/>
          <w:szCs w:val="24"/>
        </w:rPr>
        <w:t>, onde se pode comprobar a toponimia oficial e as diferenzas coa que se utiliza no proxecto, colocando elementos patrimonias con nomes que están a kms de distancia dos referenciados.</w:t>
      </w:r>
    </w:p>
    <w:p w14:paraId="66019807" w14:textId="77777777" w:rsidR="00D62200" w:rsidRDefault="00D62200" w:rsidP="00D62200">
      <w:pPr>
        <w:autoSpaceDE w:val="0"/>
        <w:autoSpaceDN w:val="0"/>
        <w:adjustRightInd w:val="0"/>
        <w:spacing w:after="0" w:line="240" w:lineRule="auto"/>
        <w:ind w:right="424"/>
        <w:jc w:val="both"/>
        <w:rPr>
          <w:rFonts w:ascii="Times New Roman" w:hAnsi="Times New Roman"/>
          <w:sz w:val="24"/>
          <w:szCs w:val="24"/>
        </w:rPr>
      </w:pPr>
    </w:p>
    <w:p w14:paraId="66323C6D" w14:textId="77777777" w:rsidR="00D62200" w:rsidRDefault="00D62200" w:rsidP="00D62200">
      <w:pPr>
        <w:autoSpaceDE w:val="0"/>
        <w:autoSpaceDN w:val="0"/>
        <w:adjustRightInd w:val="0"/>
        <w:spacing w:after="0" w:line="240" w:lineRule="auto"/>
        <w:ind w:right="424"/>
        <w:jc w:val="both"/>
        <w:rPr>
          <w:rFonts w:ascii="Times New Roman" w:hAnsi="Times New Roman"/>
          <w:sz w:val="24"/>
          <w:szCs w:val="24"/>
        </w:rPr>
      </w:pPr>
      <w:r>
        <w:rPr>
          <w:noProof/>
          <w:lang w:eastAsia="es-ES"/>
        </w:rPr>
        <w:drawing>
          <wp:inline distT="0" distB="0" distL="0" distR="0" wp14:anchorId="2D0BD0A3" wp14:editId="394FBF14">
            <wp:extent cx="5400040" cy="3271904"/>
            <wp:effectExtent l="0" t="0" r="0"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5400040" cy="3271904"/>
                    </a:xfrm>
                    <a:prstGeom prst="rect">
                      <a:avLst/>
                    </a:prstGeom>
                    <a:ln>
                      <a:noFill/>
                    </a:ln>
                    <a:extLst>
                      <a:ext uri="{53640926-AAD7-44D8-BBD7-CCE9431645EC}">
                        <a14:shadowObscured xmlns:a14="http://schemas.microsoft.com/office/drawing/2010/main"/>
                      </a:ext>
                    </a:extLst>
                  </pic:spPr>
                </pic:pic>
              </a:graphicData>
            </a:graphic>
          </wp:inline>
        </w:drawing>
      </w:r>
    </w:p>
    <w:p w14:paraId="3045136A" w14:textId="77777777" w:rsidR="00D62200" w:rsidRDefault="00D62200" w:rsidP="00D62200">
      <w:pPr>
        <w:ind w:right="424"/>
      </w:pPr>
    </w:p>
    <w:p w14:paraId="65069FF9" w14:textId="77777777" w:rsidR="00D62200" w:rsidRPr="00CB5DB4" w:rsidRDefault="00D62200" w:rsidP="00090AB5">
      <w:pPr>
        <w:pStyle w:val="Default"/>
        <w:numPr>
          <w:ilvl w:val="0"/>
          <w:numId w:val="11"/>
        </w:numPr>
        <w:shd w:val="clear" w:color="auto" w:fill="C6D9F1"/>
        <w:spacing w:before="120"/>
        <w:ind w:left="1985" w:right="424" w:hanging="1985"/>
        <w:jc w:val="both"/>
        <w:outlineLvl w:val="0"/>
        <w:rPr>
          <w:rFonts w:ascii="Calibri" w:hAnsi="Calibri" w:cs="Calibri"/>
          <w:b/>
          <w:bCs/>
        </w:rPr>
      </w:pPr>
      <w:bookmarkStart w:id="470" w:name="_Toc132511043"/>
      <w:r>
        <w:rPr>
          <w:rFonts w:ascii="Calibri" w:hAnsi="Calibri" w:cs="Calibri"/>
          <w:b/>
          <w:bCs/>
        </w:rPr>
        <w:t>No informe de impacto arqueolóxico non se contempla a totalidade do patrimonio afectado nin outros elementos non localizados no estudo presentado.</w:t>
      </w:r>
      <w:bookmarkEnd w:id="470"/>
    </w:p>
    <w:p w14:paraId="4A3404D3" w14:textId="77777777" w:rsidR="00D62200" w:rsidRPr="00117EE1" w:rsidRDefault="00D62200" w:rsidP="00D62200">
      <w:pPr>
        <w:ind w:right="424"/>
        <w:rPr>
          <w:rFonts w:cstheme="minorHAnsi"/>
        </w:rPr>
      </w:pPr>
    </w:p>
    <w:p w14:paraId="48A9E5AC" w14:textId="77777777" w:rsidR="00D62200" w:rsidRDefault="00D62200" w:rsidP="00D62200">
      <w:pPr>
        <w:autoSpaceDE w:val="0"/>
        <w:autoSpaceDN w:val="0"/>
        <w:adjustRightInd w:val="0"/>
        <w:spacing w:after="0" w:line="240" w:lineRule="auto"/>
        <w:ind w:right="424"/>
        <w:jc w:val="both"/>
        <w:rPr>
          <w:rFonts w:cstheme="minorHAnsi"/>
          <w:sz w:val="24"/>
          <w:szCs w:val="24"/>
        </w:rPr>
      </w:pPr>
      <w:r w:rsidRPr="00101E89">
        <w:rPr>
          <w:rFonts w:cstheme="minorHAnsi"/>
          <w:sz w:val="24"/>
          <w:szCs w:val="24"/>
        </w:rPr>
        <w:t>Tanto a Dirección Xeral de Planificación Enerxética (Consellería de Industria) como a Dirección Xeral de Patrimonio (</w:t>
      </w:r>
      <w:r>
        <w:rPr>
          <w:rFonts w:cstheme="minorHAnsi"/>
          <w:sz w:val="24"/>
          <w:szCs w:val="24"/>
        </w:rPr>
        <w:t>C</w:t>
      </w:r>
      <w:r w:rsidRPr="00101E89">
        <w:rPr>
          <w:rFonts w:cstheme="minorHAnsi"/>
          <w:sz w:val="24"/>
          <w:szCs w:val="24"/>
        </w:rPr>
        <w:t>onsellería de Cultura)</w:t>
      </w:r>
      <w:r>
        <w:rPr>
          <w:rFonts w:cstheme="minorHAnsi"/>
          <w:sz w:val="24"/>
          <w:szCs w:val="24"/>
        </w:rPr>
        <w:t>,</w:t>
      </w:r>
      <w:r w:rsidRPr="00101E89">
        <w:rPr>
          <w:rFonts w:cstheme="minorHAnsi"/>
          <w:sz w:val="24"/>
          <w:szCs w:val="24"/>
        </w:rPr>
        <w:t xml:space="preserve"> coñecen a </w:t>
      </w:r>
      <w:r w:rsidRPr="003C1C9A">
        <w:rPr>
          <w:rFonts w:cstheme="minorHAnsi"/>
          <w:sz w:val="24"/>
          <w:szCs w:val="24"/>
        </w:rPr>
        <w:t xml:space="preserve">denuncia presentada </w:t>
      </w:r>
      <w:r>
        <w:rPr>
          <w:rFonts w:cstheme="minorHAnsi"/>
          <w:sz w:val="24"/>
          <w:szCs w:val="24"/>
        </w:rPr>
        <w:t xml:space="preserve">polo IEM </w:t>
      </w:r>
      <w:r w:rsidRPr="003C1C9A">
        <w:rPr>
          <w:rFonts w:cstheme="minorHAnsi"/>
          <w:sz w:val="24"/>
          <w:szCs w:val="24"/>
        </w:rPr>
        <w:t>o 27 de febre</w:t>
      </w:r>
      <w:r>
        <w:rPr>
          <w:rFonts w:cstheme="minorHAnsi"/>
          <w:sz w:val="24"/>
          <w:szCs w:val="24"/>
        </w:rPr>
        <w:t>i</w:t>
      </w:r>
      <w:r w:rsidRPr="003C1C9A">
        <w:rPr>
          <w:rFonts w:cstheme="minorHAnsi"/>
          <w:sz w:val="24"/>
          <w:szCs w:val="24"/>
        </w:rPr>
        <w:t>ro do 2023 (nº rexistro de entrada 2023/660246) na que se documentan</w:t>
      </w:r>
      <w:r w:rsidRPr="00101E89">
        <w:rPr>
          <w:rFonts w:cstheme="minorHAnsi"/>
          <w:sz w:val="24"/>
          <w:szCs w:val="24"/>
        </w:rPr>
        <w:t xml:space="preserve"> numerosos puntos aequeolóxicos afectados e non recollidos no proxecto, presentada polo Instituto de Estudos Miñoráns.</w:t>
      </w:r>
    </w:p>
    <w:p w14:paraId="38DCDB37" w14:textId="77777777" w:rsidR="00D62200" w:rsidRPr="00101E89" w:rsidRDefault="00D62200" w:rsidP="00D62200">
      <w:pPr>
        <w:autoSpaceDE w:val="0"/>
        <w:autoSpaceDN w:val="0"/>
        <w:adjustRightInd w:val="0"/>
        <w:spacing w:after="0" w:line="240" w:lineRule="auto"/>
        <w:ind w:right="424"/>
        <w:jc w:val="both"/>
        <w:rPr>
          <w:rFonts w:cstheme="minorHAnsi"/>
          <w:sz w:val="24"/>
          <w:szCs w:val="24"/>
        </w:rPr>
      </w:pPr>
    </w:p>
    <w:p w14:paraId="0BD29DC2" w14:textId="77777777" w:rsidR="00D62200" w:rsidRDefault="00D62200" w:rsidP="00D62200">
      <w:pPr>
        <w:autoSpaceDE w:val="0"/>
        <w:autoSpaceDN w:val="0"/>
        <w:adjustRightInd w:val="0"/>
        <w:spacing w:after="0" w:line="240" w:lineRule="auto"/>
        <w:ind w:right="424"/>
        <w:jc w:val="both"/>
        <w:rPr>
          <w:rFonts w:cstheme="minorHAnsi"/>
          <w:sz w:val="24"/>
          <w:szCs w:val="24"/>
        </w:rPr>
      </w:pPr>
      <w:r w:rsidRPr="00101E89">
        <w:rPr>
          <w:rFonts w:cstheme="minorHAnsi"/>
          <w:sz w:val="24"/>
          <w:szCs w:val="24"/>
        </w:rPr>
        <w:t>O aeroxerador nº 1 iría situado xusto enriba dunha mámoa, a mámoa do Niño do Corvo,  que non se menciona no estudo arqueolóxico e todas a</w:t>
      </w:r>
      <w:r>
        <w:rPr>
          <w:rFonts w:cstheme="minorHAnsi"/>
          <w:sz w:val="24"/>
          <w:szCs w:val="24"/>
        </w:rPr>
        <w:t>s</w:t>
      </w:r>
      <w:r w:rsidRPr="00101E89">
        <w:rPr>
          <w:rFonts w:cstheme="minorHAnsi"/>
          <w:sz w:val="24"/>
          <w:szCs w:val="24"/>
        </w:rPr>
        <w:t xml:space="preserve"> infraestructuras da base, acceso e maniobra afectarían directamente a outros elementos patrimoniais, petroglifos e achados líticos, estarían asemade, na zona de protección de outros.</w:t>
      </w:r>
    </w:p>
    <w:p w14:paraId="29FAC79C" w14:textId="77777777" w:rsidR="00D62200" w:rsidRPr="00101E89" w:rsidRDefault="00D62200" w:rsidP="00D62200">
      <w:pPr>
        <w:autoSpaceDE w:val="0"/>
        <w:autoSpaceDN w:val="0"/>
        <w:adjustRightInd w:val="0"/>
        <w:spacing w:after="0" w:line="240" w:lineRule="auto"/>
        <w:ind w:right="424"/>
        <w:jc w:val="both"/>
        <w:rPr>
          <w:rFonts w:cstheme="minorHAnsi"/>
          <w:sz w:val="24"/>
          <w:szCs w:val="24"/>
        </w:rPr>
      </w:pPr>
    </w:p>
    <w:p w14:paraId="14C884FD" w14:textId="77777777" w:rsidR="00D62200" w:rsidRDefault="00D62200" w:rsidP="00D62200">
      <w:pPr>
        <w:autoSpaceDE w:val="0"/>
        <w:autoSpaceDN w:val="0"/>
        <w:adjustRightInd w:val="0"/>
        <w:spacing w:after="0" w:line="240" w:lineRule="auto"/>
        <w:ind w:right="424"/>
        <w:jc w:val="both"/>
        <w:rPr>
          <w:rFonts w:cstheme="minorHAnsi"/>
          <w:sz w:val="24"/>
          <w:szCs w:val="24"/>
        </w:rPr>
      </w:pPr>
      <w:r w:rsidRPr="00101E89">
        <w:rPr>
          <w:rFonts w:cstheme="minorHAnsi"/>
          <w:sz w:val="24"/>
          <w:szCs w:val="24"/>
        </w:rPr>
        <w:t>O aeroxerador nº 2,</w:t>
      </w:r>
      <w:r>
        <w:rPr>
          <w:rFonts w:cstheme="minorHAnsi"/>
          <w:sz w:val="24"/>
          <w:szCs w:val="24"/>
        </w:rPr>
        <w:t xml:space="preserve"> </w:t>
      </w:r>
      <w:r w:rsidRPr="00101E89">
        <w:rPr>
          <w:rFonts w:cstheme="minorHAnsi"/>
          <w:sz w:val="24"/>
          <w:szCs w:val="24"/>
        </w:rPr>
        <w:t xml:space="preserve">3 e 4 tamén se situarían enriba de patrimonio arqueolóxico, petroglifos, non contemplados no proxecto. Adxúntanse fichas </w:t>
      </w:r>
      <w:r>
        <w:rPr>
          <w:rFonts w:cstheme="minorHAnsi"/>
          <w:sz w:val="24"/>
          <w:szCs w:val="24"/>
        </w:rPr>
        <w:t>no Anexo I</w:t>
      </w:r>
      <w:r w:rsidRPr="00101E89">
        <w:rPr>
          <w:rFonts w:cstheme="minorHAnsi"/>
          <w:sz w:val="24"/>
          <w:szCs w:val="24"/>
        </w:rPr>
        <w:t>.</w:t>
      </w:r>
    </w:p>
    <w:p w14:paraId="6BA2A52A" w14:textId="77777777" w:rsidR="00D62200" w:rsidRDefault="00D62200" w:rsidP="00D62200">
      <w:pPr>
        <w:autoSpaceDE w:val="0"/>
        <w:autoSpaceDN w:val="0"/>
        <w:adjustRightInd w:val="0"/>
        <w:spacing w:after="0" w:line="240" w:lineRule="auto"/>
        <w:ind w:right="424"/>
        <w:jc w:val="both"/>
        <w:rPr>
          <w:rFonts w:cstheme="minorHAnsi"/>
          <w:sz w:val="24"/>
          <w:szCs w:val="24"/>
        </w:rPr>
      </w:pPr>
    </w:p>
    <w:p w14:paraId="59A7327E" w14:textId="77777777" w:rsidR="00D62200" w:rsidRDefault="00D62200" w:rsidP="00D62200">
      <w:pPr>
        <w:spacing w:after="160" w:line="256" w:lineRule="auto"/>
        <w:ind w:right="424"/>
        <w:rPr>
          <w:rFonts w:cstheme="minorHAnsi"/>
          <w:sz w:val="24"/>
          <w:szCs w:val="24"/>
          <w:lang w:val="gl-ES"/>
        </w:rPr>
      </w:pPr>
      <w:r>
        <w:rPr>
          <w:rFonts w:cstheme="minorHAnsi"/>
          <w:sz w:val="24"/>
          <w:szCs w:val="24"/>
          <w:lang w:val="gl-ES"/>
        </w:rPr>
        <w:t xml:space="preserve">Índice das fichas de Patrimonio Arqueolóxico non catalogadas e/ou afectadas que non figuran no EsIA do PE Torroña I: </w:t>
      </w:r>
    </w:p>
    <w:p w14:paraId="7E48FDBC" w14:textId="77777777" w:rsidR="00D62200" w:rsidRDefault="00D62200" w:rsidP="00DD30C9">
      <w:pPr>
        <w:pStyle w:val="Prrafodelista"/>
        <w:numPr>
          <w:ilvl w:val="0"/>
          <w:numId w:val="34"/>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 xml:space="preserve"> Regueiro da Silveira</w:t>
      </w:r>
    </w:p>
    <w:p w14:paraId="513B2010" w14:textId="77777777" w:rsidR="00D62200" w:rsidRDefault="00D62200" w:rsidP="00DD30C9">
      <w:pPr>
        <w:pStyle w:val="Prrafodelista"/>
        <w:numPr>
          <w:ilvl w:val="0"/>
          <w:numId w:val="34"/>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Camiño da Mina 01,02 e 03</w:t>
      </w:r>
    </w:p>
    <w:p w14:paraId="6449EEEF" w14:textId="77777777" w:rsidR="00D62200" w:rsidRDefault="00D62200" w:rsidP="00DD30C9">
      <w:pPr>
        <w:pStyle w:val="Prrafodelista"/>
        <w:numPr>
          <w:ilvl w:val="0"/>
          <w:numId w:val="34"/>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Fonte do campo de Blas</w:t>
      </w:r>
    </w:p>
    <w:p w14:paraId="036040F6" w14:textId="77777777" w:rsidR="00D62200" w:rsidRDefault="00D62200" w:rsidP="00DD30C9">
      <w:pPr>
        <w:pStyle w:val="Prrafodelista"/>
        <w:numPr>
          <w:ilvl w:val="0"/>
          <w:numId w:val="34"/>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Ladeira das Aradelas 02</w:t>
      </w:r>
    </w:p>
    <w:p w14:paraId="1EA8D3B1" w14:textId="77777777" w:rsidR="00D62200" w:rsidRDefault="00D62200" w:rsidP="00DD30C9">
      <w:pPr>
        <w:pStyle w:val="Prrafodelista"/>
        <w:numPr>
          <w:ilvl w:val="0"/>
          <w:numId w:val="34"/>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Lourido 01</w:t>
      </w:r>
    </w:p>
    <w:p w14:paraId="4DCDFB3A" w14:textId="77777777" w:rsidR="00D62200" w:rsidRDefault="00D62200" w:rsidP="00DD30C9">
      <w:pPr>
        <w:pStyle w:val="Prrafodelista"/>
        <w:numPr>
          <w:ilvl w:val="0"/>
          <w:numId w:val="34"/>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Lourido 03</w:t>
      </w:r>
    </w:p>
    <w:p w14:paraId="722BB64F" w14:textId="77777777" w:rsidR="00D62200" w:rsidRDefault="00D62200" w:rsidP="00DD30C9">
      <w:pPr>
        <w:pStyle w:val="Prrafodelista"/>
        <w:numPr>
          <w:ilvl w:val="0"/>
          <w:numId w:val="34"/>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lastRenderedPageBreak/>
        <w:t>Niño do Corvo</w:t>
      </w:r>
    </w:p>
    <w:p w14:paraId="11FDF787" w14:textId="77777777" w:rsidR="00D62200" w:rsidRDefault="00D62200" w:rsidP="00DD30C9">
      <w:pPr>
        <w:pStyle w:val="Prrafodelista"/>
        <w:numPr>
          <w:ilvl w:val="0"/>
          <w:numId w:val="34"/>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O Ariieiro 01</w:t>
      </w:r>
    </w:p>
    <w:p w14:paraId="570DAF10" w14:textId="77777777" w:rsidR="00D62200" w:rsidRDefault="00D62200" w:rsidP="00DD30C9">
      <w:pPr>
        <w:pStyle w:val="Prrafodelista"/>
        <w:numPr>
          <w:ilvl w:val="0"/>
          <w:numId w:val="34"/>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O Capiado 01</w:t>
      </w:r>
    </w:p>
    <w:p w14:paraId="4301DB6B" w14:textId="77777777" w:rsidR="00D62200" w:rsidRDefault="00D62200" w:rsidP="00DD30C9">
      <w:pPr>
        <w:pStyle w:val="Prrafodelista"/>
        <w:numPr>
          <w:ilvl w:val="0"/>
          <w:numId w:val="34"/>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O Capiado 02</w:t>
      </w:r>
    </w:p>
    <w:p w14:paraId="394B7336" w14:textId="77777777" w:rsidR="00D62200" w:rsidRDefault="00D62200" w:rsidP="00DD30C9">
      <w:pPr>
        <w:pStyle w:val="Prrafodelista"/>
        <w:numPr>
          <w:ilvl w:val="0"/>
          <w:numId w:val="34"/>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Outeiro dos Cortellos</w:t>
      </w:r>
    </w:p>
    <w:p w14:paraId="1E8FA234" w14:textId="77777777" w:rsidR="00D62200" w:rsidRDefault="00D62200" w:rsidP="00DD30C9">
      <w:pPr>
        <w:pStyle w:val="Prrafodelista"/>
        <w:numPr>
          <w:ilvl w:val="0"/>
          <w:numId w:val="34"/>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Outeiros da Secreta</w:t>
      </w:r>
    </w:p>
    <w:p w14:paraId="074E7897" w14:textId="77777777" w:rsidR="00D62200" w:rsidRDefault="00D62200" w:rsidP="00DD30C9">
      <w:pPr>
        <w:pStyle w:val="Prrafodelista"/>
        <w:numPr>
          <w:ilvl w:val="0"/>
          <w:numId w:val="34"/>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Petróglifo da Pedra Ancha</w:t>
      </w:r>
    </w:p>
    <w:p w14:paraId="6874E835" w14:textId="77777777" w:rsidR="00D62200" w:rsidRDefault="00D62200" w:rsidP="00DD30C9">
      <w:pPr>
        <w:pStyle w:val="Prrafodelista"/>
        <w:numPr>
          <w:ilvl w:val="0"/>
          <w:numId w:val="34"/>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Cerro das Aradelas 01</w:t>
      </w:r>
    </w:p>
    <w:p w14:paraId="67FD31A9" w14:textId="77777777" w:rsidR="00D62200" w:rsidRDefault="00D62200" w:rsidP="00DD30C9">
      <w:pPr>
        <w:pStyle w:val="Prrafodelista"/>
        <w:numPr>
          <w:ilvl w:val="0"/>
          <w:numId w:val="34"/>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Regueira dos Campos 04</w:t>
      </w:r>
    </w:p>
    <w:p w14:paraId="77671C9F" w14:textId="77777777" w:rsidR="00D62200" w:rsidRPr="00101E89" w:rsidRDefault="00D62200" w:rsidP="00D62200">
      <w:pPr>
        <w:autoSpaceDE w:val="0"/>
        <w:autoSpaceDN w:val="0"/>
        <w:adjustRightInd w:val="0"/>
        <w:spacing w:after="0" w:line="240" w:lineRule="auto"/>
        <w:ind w:right="424"/>
        <w:jc w:val="both"/>
        <w:rPr>
          <w:rFonts w:cstheme="minorHAnsi"/>
          <w:sz w:val="24"/>
          <w:szCs w:val="24"/>
        </w:rPr>
      </w:pPr>
    </w:p>
    <w:p w14:paraId="49C2061C" w14:textId="77777777" w:rsidR="00D62200" w:rsidRDefault="00D62200" w:rsidP="00D62200">
      <w:pPr>
        <w:ind w:right="424"/>
      </w:pPr>
    </w:p>
    <w:p w14:paraId="33712DE0" w14:textId="77777777" w:rsidR="00D62200" w:rsidRPr="00CB5DB4" w:rsidRDefault="00D62200" w:rsidP="00090AB5">
      <w:pPr>
        <w:pStyle w:val="Default"/>
        <w:numPr>
          <w:ilvl w:val="0"/>
          <w:numId w:val="11"/>
        </w:numPr>
        <w:shd w:val="clear" w:color="auto" w:fill="C6D9F1"/>
        <w:spacing w:before="120"/>
        <w:ind w:left="1843" w:right="424" w:hanging="1843"/>
        <w:jc w:val="both"/>
        <w:outlineLvl w:val="0"/>
        <w:rPr>
          <w:rFonts w:ascii="Calibri" w:hAnsi="Calibri" w:cs="Calibri"/>
          <w:b/>
          <w:bCs/>
        </w:rPr>
      </w:pPr>
      <w:bookmarkStart w:id="471" w:name="_Toc132511044"/>
      <w:r>
        <w:rPr>
          <w:rFonts w:ascii="Calibri" w:hAnsi="Calibri" w:cs="Calibri"/>
          <w:b/>
          <w:bCs/>
        </w:rPr>
        <w:t>Toda a poligonal do PE Torroña I está no que se podería calificar como área de paisaxe arqueolóxica, dada a numerosa densidade de elementos de diversa índole.</w:t>
      </w:r>
      <w:bookmarkEnd w:id="471"/>
      <w:r>
        <w:rPr>
          <w:rFonts w:ascii="Calibri" w:hAnsi="Calibri" w:cs="Calibri"/>
          <w:b/>
          <w:bCs/>
        </w:rPr>
        <w:t xml:space="preserve"> </w:t>
      </w:r>
    </w:p>
    <w:p w14:paraId="17F9ABB7" w14:textId="77777777" w:rsidR="00D62200" w:rsidRDefault="00D62200" w:rsidP="00D62200">
      <w:pPr>
        <w:ind w:right="424"/>
        <w:jc w:val="both"/>
        <w:rPr>
          <w:rFonts w:cstheme="minorHAnsi"/>
          <w:sz w:val="24"/>
          <w:szCs w:val="24"/>
        </w:rPr>
      </w:pPr>
    </w:p>
    <w:p w14:paraId="603D4DF1" w14:textId="77777777" w:rsidR="00D62200" w:rsidRPr="00D9730D" w:rsidRDefault="00D62200" w:rsidP="00D62200">
      <w:pPr>
        <w:autoSpaceDE w:val="0"/>
        <w:autoSpaceDN w:val="0"/>
        <w:adjustRightInd w:val="0"/>
        <w:spacing w:after="0" w:line="240" w:lineRule="auto"/>
        <w:ind w:right="424"/>
        <w:jc w:val="both"/>
        <w:rPr>
          <w:rFonts w:cstheme="minorHAnsi"/>
          <w:sz w:val="24"/>
          <w:szCs w:val="24"/>
        </w:rPr>
      </w:pPr>
      <w:r w:rsidRPr="00D9730D">
        <w:rPr>
          <w:rFonts w:cstheme="minorHAnsi"/>
          <w:sz w:val="24"/>
          <w:szCs w:val="24"/>
        </w:rPr>
        <w:t>Petroglifos , mámoas, restos líticos, recintos murados, casetas forestais, fontes…, como se recolle no propio EsIA na súa páxina 922, páxina 15 do estudo de impacto arqueolóxico:</w:t>
      </w:r>
    </w:p>
    <w:p w14:paraId="2AE3F4D0" w14:textId="77777777" w:rsidR="00D62200" w:rsidRPr="00D9730D" w:rsidRDefault="00D62200" w:rsidP="00D62200">
      <w:pPr>
        <w:autoSpaceDE w:val="0"/>
        <w:autoSpaceDN w:val="0"/>
        <w:adjustRightInd w:val="0"/>
        <w:spacing w:after="0" w:line="240" w:lineRule="auto"/>
        <w:ind w:right="424"/>
        <w:jc w:val="both"/>
        <w:rPr>
          <w:rFonts w:cstheme="minorHAnsi"/>
          <w:sz w:val="24"/>
          <w:szCs w:val="24"/>
        </w:rPr>
      </w:pPr>
    </w:p>
    <w:p w14:paraId="06339660" w14:textId="77777777" w:rsidR="00D62200" w:rsidRPr="00D9730D" w:rsidRDefault="00D62200" w:rsidP="00D62200">
      <w:pPr>
        <w:autoSpaceDE w:val="0"/>
        <w:autoSpaceDN w:val="0"/>
        <w:adjustRightInd w:val="0"/>
        <w:spacing w:after="0" w:line="240" w:lineRule="auto"/>
        <w:ind w:left="708" w:right="424"/>
        <w:jc w:val="both"/>
        <w:rPr>
          <w:rFonts w:cstheme="minorHAnsi"/>
          <w:i/>
          <w:u w:val="single"/>
        </w:rPr>
      </w:pPr>
      <w:r w:rsidRPr="00D9730D">
        <w:rPr>
          <w:rFonts w:cstheme="minorHAnsi"/>
          <w:i/>
        </w:rPr>
        <w:t>“A zona na que se instalará o parque eólico Torroña I é dende un punto de vista xeral,unha zona de contrastes. Na zona costeira hai núcleos urbanos cunha contorna moi antropizada e, a curta distancia, a zona de monte que sorprendentemente manteñen un uso tradicional, aínda que cada vez máis decaído</w:t>
      </w:r>
      <w:r w:rsidRPr="00D9730D">
        <w:rPr>
          <w:rFonts w:cstheme="minorHAnsi"/>
          <w:i/>
          <w:u w:val="single"/>
        </w:rPr>
        <w:t>. Destaca pola súa riqueza patrimonial tanto en número de xacementos como no amplo abano de tipoloxía e adscripción cronocultural dos existentes.”</w:t>
      </w:r>
    </w:p>
    <w:p w14:paraId="041C86F1" w14:textId="77777777" w:rsidR="00D62200" w:rsidRDefault="00D62200" w:rsidP="00D62200">
      <w:pPr>
        <w:ind w:right="424"/>
        <w:jc w:val="both"/>
        <w:rPr>
          <w:rFonts w:cstheme="minorHAnsi"/>
          <w:sz w:val="24"/>
          <w:szCs w:val="24"/>
        </w:rPr>
      </w:pPr>
    </w:p>
    <w:p w14:paraId="55718984" w14:textId="77777777" w:rsidR="00D62200" w:rsidRDefault="00D62200" w:rsidP="00D62200">
      <w:pPr>
        <w:ind w:right="424"/>
        <w:jc w:val="both"/>
        <w:rPr>
          <w:rFonts w:cstheme="minorHAnsi"/>
          <w:sz w:val="24"/>
          <w:szCs w:val="24"/>
        </w:rPr>
      </w:pPr>
      <w:r>
        <w:rPr>
          <w:rFonts w:cstheme="minorHAnsi"/>
          <w:sz w:val="24"/>
          <w:szCs w:val="24"/>
        </w:rPr>
        <w:t>E esa apreciación non contempla a abundancia de patrimonio non catalogado nin atopado no Estudio de Impacto Arqueolóxico do EsIA, que relatamos no punto anterior e pormenorizadamante no Anexo I.</w:t>
      </w:r>
    </w:p>
    <w:p w14:paraId="3ACA441F" w14:textId="77777777" w:rsidR="00090AB5" w:rsidRDefault="00090AB5" w:rsidP="00D62200">
      <w:pPr>
        <w:ind w:right="424"/>
        <w:jc w:val="both"/>
        <w:rPr>
          <w:rFonts w:cstheme="minorHAnsi"/>
          <w:sz w:val="24"/>
          <w:szCs w:val="24"/>
        </w:rPr>
      </w:pPr>
    </w:p>
    <w:p w14:paraId="01230B34" w14:textId="77777777" w:rsidR="00D62200" w:rsidRPr="00CB5DB4" w:rsidRDefault="00D62200" w:rsidP="00090AB5">
      <w:pPr>
        <w:pStyle w:val="Default"/>
        <w:numPr>
          <w:ilvl w:val="0"/>
          <w:numId w:val="11"/>
        </w:numPr>
        <w:shd w:val="clear" w:color="auto" w:fill="C6D9F1"/>
        <w:spacing w:before="120"/>
        <w:ind w:right="424" w:hanging="1637"/>
        <w:jc w:val="both"/>
        <w:outlineLvl w:val="0"/>
        <w:rPr>
          <w:rFonts w:ascii="Calibri" w:hAnsi="Calibri" w:cs="Calibri"/>
          <w:b/>
          <w:bCs/>
        </w:rPr>
      </w:pPr>
      <w:bookmarkStart w:id="472" w:name="_Toc132511045"/>
      <w:r>
        <w:rPr>
          <w:rFonts w:ascii="Calibri" w:hAnsi="Calibri" w:cs="Calibri"/>
          <w:b/>
          <w:bCs/>
        </w:rPr>
        <w:t>O patrimonio das Casetas forestais non se contempla no EsIA.</w:t>
      </w:r>
      <w:bookmarkEnd w:id="472"/>
      <w:r>
        <w:rPr>
          <w:rFonts w:ascii="Calibri" w:hAnsi="Calibri" w:cs="Calibri"/>
          <w:b/>
          <w:bCs/>
        </w:rPr>
        <w:t xml:space="preserve"> </w:t>
      </w:r>
    </w:p>
    <w:p w14:paraId="5C15D9AC" w14:textId="77777777" w:rsidR="00090AB5" w:rsidRDefault="00090AB5" w:rsidP="00D62200">
      <w:pPr>
        <w:pStyle w:val="Prrafodelista"/>
        <w:autoSpaceDE w:val="0"/>
        <w:autoSpaceDN w:val="0"/>
        <w:adjustRightInd w:val="0"/>
        <w:ind w:left="0" w:right="424"/>
        <w:jc w:val="both"/>
        <w:rPr>
          <w:rFonts w:cstheme="minorHAnsi"/>
          <w:sz w:val="24"/>
          <w:szCs w:val="24"/>
        </w:rPr>
      </w:pPr>
    </w:p>
    <w:p w14:paraId="74AF9325" w14:textId="77777777" w:rsidR="00D62200" w:rsidRPr="00492456" w:rsidRDefault="00D62200" w:rsidP="00D62200">
      <w:pPr>
        <w:pStyle w:val="Prrafodelista"/>
        <w:autoSpaceDE w:val="0"/>
        <w:autoSpaceDN w:val="0"/>
        <w:adjustRightInd w:val="0"/>
        <w:ind w:left="0" w:right="424"/>
        <w:jc w:val="both"/>
        <w:rPr>
          <w:rFonts w:cstheme="minorHAnsi"/>
          <w:sz w:val="24"/>
          <w:szCs w:val="24"/>
        </w:rPr>
      </w:pPr>
      <w:r w:rsidRPr="00492456">
        <w:rPr>
          <w:rFonts w:cstheme="minorHAnsi"/>
          <w:sz w:val="24"/>
          <w:szCs w:val="24"/>
        </w:rPr>
        <w:t>A Caseta</w:t>
      </w:r>
      <w:r>
        <w:rPr>
          <w:rFonts w:cstheme="minorHAnsi"/>
          <w:sz w:val="24"/>
          <w:szCs w:val="24"/>
        </w:rPr>
        <w:t xml:space="preserve"> forestal do Niño do Corvo, está</w:t>
      </w:r>
      <w:r w:rsidRPr="00492456">
        <w:rPr>
          <w:rFonts w:cstheme="minorHAnsi"/>
          <w:sz w:val="24"/>
          <w:szCs w:val="24"/>
        </w:rPr>
        <w:t xml:space="preserve"> situada a menos de 100 m do aeroxerador nº 1. Este elemento senlleiro do patrimonio etnográfico non é valorado no estudio e nin se menciona, sendo un fito na paisaxe, asi como outras que está</w:t>
      </w:r>
      <w:r>
        <w:rPr>
          <w:rFonts w:cstheme="minorHAnsi"/>
          <w:sz w:val="24"/>
          <w:szCs w:val="24"/>
        </w:rPr>
        <w:t>n dentro da poligonal deste PE</w:t>
      </w:r>
      <w:r w:rsidRPr="00492456">
        <w:rPr>
          <w:rFonts w:cstheme="minorHAnsi"/>
          <w:sz w:val="24"/>
          <w:szCs w:val="24"/>
        </w:rPr>
        <w:t xml:space="preserve"> como a da Parapicota, a Caseta do Alto das Veigas, A do Campuchan e a das Teixugueiras.</w:t>
      </w:r>
    </w:p>
    <w:p w14:paraId="0EACFB1D" w14:textId="77777777" w:rsidR="00D62200" w:rsidRPr="007113CB" w:rsidRDefault="00D62200" w:rsidP="00D62200">
      <w:pPr>
        <w:pStyle w:val="Prrafodelista"/>
        <w:autoSpaceDE w:val="0"/>
        <w:autoSpaceDN w:val="0"/>
        <w:adjustRightInd w:val="0"/>
        <w:ind w:left="927" w:right="424"/>
        <w:rPr>
          <w:rFonts w:ascii="Times New Roman" w:hAnsi="Times New Roman" w:cs="Times New Roman"/>
          <w:sz w:val="24"/>
          <w:szCs w:val="24"/>
        </w:rPr>
      </w:pPr>
    </w:p>
    <w:p w14:paraId="1D2A4700" w14:textId="77777777" w:rsidR="00D62200" w:rsidRDefault="00D62200" w:rsidP="00D62200">
      <w:pPr>
        <w:pStyle w:val="Prrafodelista"/>
        <w:autoSpaceDE w:val="0"/>
        <w:autoSpaceDN w:val="0"/>
        <w:adjustRightInd w:val="0"/>
        <w:ind w:left="0" w:right="424"/>
        <w:jc w:val="center"/>
        <w:rPr>
          <w:rFonts w:ascii="Times New Roman" w:hAnsi="Times New Roman" w:cs="Times New Roman"/>
          <w:sz w:val="24"/>
          <w:szCs w:val="24"/>
        </w:rPr>
      </w:pPr>
      <w:r>
        <w:rPr>
          <w:noProof/>
          <w:lang w:eastAsia="es-ES"/>
        </w:rPr>
        <w:lastRenderedPageBreak/>
        <w:drawing>
          <wp:inline distT="0" distB="0" distL="0" distR="0" wp14:anchorId="43622F24" wp14:editId="28B75FDB">
            <wp:extent cx="5313175" cy="2404153"/>
            <wp:effectExtent l="0" t="0" r="190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5355675" cy="2423384"/>
                    </a:xfrm>
                    <a:prstGeom prst="rect">
                      <a:avLst/>
                    </a:prstGeom>
                    <a:ln>
                      <a:noFill/>
                    </a:ln>
                    <a:extLst>
                      <a:ext uri="{53640926-AAD7-44D8-BBD7-CCE9431645EC}">
                        <a14:shadowObscured xmlns:a14="http://schemas.microsoft.com/office/drawing/2010/main"/>
                      </a:ext>
                    </a:extLst>
                  </pic:spPr>
                </pic:pic>
              </a:graphicData>
            </a:graphic>
          </wp:inline>
        </w:drawing>
      </w:r>
    </w:p>
    <w:p w14:paraId="79F29F11" w14:textId="77777777" w:rsidR="00D62200" w:rsidRPr="002A19FD" w:rsidRDefault="00D62200" w:rsidP="00D62200">
      <w:pPr>
        <w:pStyle w:val="Prrafodelista"/>
        <w:autoSpaceDE w:val="0"/>
        <w:autoSpaceDN w:val="0"/>
        <w:adjustRightInd w:val="0"/>
        <w:ind w:left="0" w:right="424"/>
        <w:jc w:val="center"/>
        <w:rPr>
          <w:rStyle w:val="Hipervnculo"/>
          <w:rFonts w:cstheme="minorHAnsi"/>
          <w:sz w:val="20"/>
          <w:szCs w:val="20"/>
        </w:rPr>
      </w:pPr>
      <w:r w:rsidRPr="002A19FD">
        <w:rPr>
          <w:rFonts w:cstheme="minorHAnsi"/>
          <w:sz w:val="20"/>
          <w:szCs w:val="20"/>
        </w:rPr>
        <w:t xml:space="preserve">Caseta do Campo Chan, </w:t>
      </w:r>
      <w:hyperlink r:id="rId89" w:history="1">
        <w:r w:rsidRPr="002A19FD">
          <w:rPr>
            <w:rStyle w:val="Hipervnculo"/>
            <w:rFonts w:cstheme="minorHAnsi"/>
            <w:sz w:val="20"/>
            <w:szCs w:val="20"/>
          </w:rPr>
          <w:t>citada no visor sixtop</w:t>
        </w:r>
      </w:hyperlink>
      <w:r w:rsidRPr="002A19FD">
        <w:rPr>
          <w:rStyle w:val="Refdenotaalpie"/>
          <w:rFonts w:cstheme="minorHAnsi"/>
          <w:sz w:val="20"/>
          <w:szCs w:val="20"/>
        </w:rPr>
        <w:footnoteReference w:id="66"/>
      </w:r>
    </w:p>
    <w:p w14:paraId="6BCD47BC" w14:textId="77777777" w:rsidR="00D62200" w:rsidRDefault="00D62200" w:rsidP="00D62200">
      <w:pPr>
        <w:pStyle w:val="Prrafodelista"/>
        <w:autoSpaceDE w:val="0"/>
        <w:autoSpaceDN w:val="0"/>
        <w:adjustRightInd w:val="0"/>
        <w:ind w:left="0" w:right="424"/>
        <w:jc w:val="center"/>
        <w:rPr>
          <w:rStyle w:val="Hipervnculo"/>
          <w:sz w:val="24"/>
          <w:szCs w:val="24"/>
        </w:rPr>
      </w:pPr>
    </w:p>
    <w:p w14:paraId="3D45DB2D" w14:textId="77777777" w:rsidR="00D62200" w:rsidRPr="007113CB" w:rsidRDefault="00D62200" w:rsidP="00D62200">
      <w:pPr>
        <w:spacing w:after="160" w:line="259" w:lineRule="auto"/>
        <w:ind w:right="424"/>
        <w:rPr>
          <w:rFonts w:cstheme="minorHAnsi"/>
          <w:sz w:val="24"/>
          <w:szCs w:val="24"/>
          <w:lang w:val="gl-ES"/>
        </w:rPr>
      </w:pPr>
      <w:r w:rsidRPr="007113CB">
        <w:rPr>
          <w:rFonts w:cstheme="minorHAnsi"/>
          <w:noProof/>
          <w:sz w:val="24"/>
          <w:szCs w:val="24"/>
          <w:lang w:eastAsia="es-ES"/>
        </w:rPr>
        <w:drawing>
          <wp:inline distT="0" distB="0" distL="0" distR="0" wp14:anchorId="1DE51DFE" wp14:editId="79BC4D0C">
            <wp:extent cx="5400040" cy="4051132"/>
            <wp:effectExtent l="0" t="0" r="0" b="6985"/>
            <wp:docPr id="35" name="Imagen 35" descr="C:\Users\IEM\Pictures\OIA\P161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EM\Pictures\OIA\P1610782.JPG"/>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5400040" cy="4051132"/>
                    </a:xfrm>
                    <a:prstGeom prst="rect">
                      <a:avLst/>
                    </a:prstGeom>
                    <a:noFill/>
                    <a:ln>
                      <a:noFill/>
                    </a:ln>
                  </pic:spPr>
                </pic:pic>
              </a:graphicData>
            </a:graphic>
          </wp:inline>
        </w:drawing>
      </w:r>
    </w:p>
    <w:p w14:paraId="3BF62C22" w14:textId="77777777" w:rsidR="00D62200" w:rsidRPr="00325911" w:rsidRDefault="00D62200" w:rsidP="00D62200">
      <w:pPr>
        <w:spacing w:after="160" w:line="259" w:lineRule="auto"/>
        <w:ind w:right="424"/>
        <w:jc w:val="center"/>
        <w:rPr>
          <w:rFonts w:cstheme="minorHAnsi"/>
          <w:sz w:val="20"/>
          <w:szCs w:val="20"/>
          <w:lang w:val="gl-ES"/>
        </w:rPr>
      </w:pPr>
      <w:r w:rsidRPr="00325911">
        <w:rPr>
          <w:rFonts w:cstheme="minorHAnsi"/>
          <w:sz w:val="20"/>
          <w:szCs w:val="20"/>
          <w:lang w:val="gl-ES"/>
        </w:rPr>
        <w:t>Caseta Forestal do Campuchán,, por riba do foxo de lobo do Foxo Pedriño. Burgueira. Oia.</w:t>
      </w:r>
    </w:p>
    <w:p w14:paraId="6E07E592" w14:textId="77777777" w:rsidR="00D62200" w:rsidRDefault="00D62200" w:rsidP="00D62200">
      <w:pPr>
        <w:pStyle w:val="Prrafodelista"/>
        <w:autoSpaceDE w:val="0"/>
        <w:autoSpaceDN w:val="0"/>
        <w:adjustRightInd w:val="0"/>
        <w:ind w:left="0" w:right="424"/>
        <w:jc w:val="center"/>
        <w:rPr>
          <w:rFonts w:ascii="Times New Roman" w:hAnsi="Times New Roman" w:cs="Times New Roman"/>
          <w:sz w:val="24"/>
          <w:szCs w:val="24"/>
        </w:rPr>
      </w:pPr>
    </w:p>
    <w:p w14:paraId="3FFF0E58" w14:textId="77777777" w:rsidR="00D62200" w:rsidRDefault="00D62200" w:rsidP="00D62200">
      <w:pPr>
        <w:pStyle w:val="Prrafodelista"/>
        <w:autoSpaceDE w:val="0"/>
        <w:autoSpaceDN w:val="0"/>
        <w:adjustRightInd w:val="0"/>
        <w:ind w:left="0" w:right="424"/>
        <w:jc w:val="center"/>
        <w:rPr>
          <w:rFonts w:ascii="Times New Roman" w:hAnsi="Times New Roman" w:cs="Times New Roman"/>
          <w:sz w:val="24"/>
          <w:szCs w:val="24"/>
        </w:rPr>
      </w:pPr>
    </w:p>
    <w:p w14:paraId="36D62CFF" w14:textId="77777777" w:rsidR="00D62200" w:rsidRDefault="00D62200" w:rsidP="00D62200">
      <w:pPr>
        <w:pStyle w:val="Prrafodelista"/>
        <w:autoSpaceDE w:val="0"/>
        <w:autoSpaceDN w:val="0"/>
        <w:adjustRightInd w:val="0"/>
        <w:ind w:left="0" w:right="424"/>
        <w:jc w:val="center"/>
        <w:rPr>
          <w:rFonts w:ascii="Times New Roman" w:hAnsi="Times New Roman" w:cs="Times New Roman"/>
          <w:sz w:val="24"/>
          <w:szCs w:val="24"/>
        </w:rPr>
      </w:pPr>
      <w:r>
        <w:rPr>
          <w:noProof/>
          <w:lang w:eastAsia="es-ES"/>
        </w:rPr>
        <w:lastRenderedPageBreak/>
        <w:drawing>
          <wp:inline distT="0" distB="0" distL="0" distR="0" wp14:anchorId="47E4B2E8" wp14:editId="2BB03730">
            <wp:extent cx="5262065" cy="2219218"/>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a:ext>
                      </a:extLst>
                    </a:blip>
                    <a:srcRect/>
                    <a:stretch/>
                  </pic:blipFill>
                  <pic:spPr bwMode="auto">
                    <a:xfrm>
                      <a:off x="0" y="0"/>
                      <a:ext cx="5302970" cy="2236469"/>
                    </a:xfrm>
                    <a:prstGeom prst="rect">
                      <a:avLst/>
                    </a:prstGeom>
                    <a:ln>
                      <a:noFill/>
                    </a:ln>
                    <a:extLst>
                      <a:ext uri="{53640926-AAD7-44D8-BBD7-CCE9431645EC}">
                        <a14:shadowObscured xmlns:a14="http://schemas.microsoft.com/office/drawing/2010/main"/>
                      </a:ext>
                    </a:extLst>
                  </pic:spPr>
                </pic:pic>
              </a:graphicData>
            </a:graphic>
          </wp:inline>
        </w:drawing>
      </w:r>
    </w:p>
    <w:p w14:paraId="5189031C" w14:textId="77777777" w:rsidR="00D62200" w:rsidRDefault="00D62200" w:rsidP="00D62200">
      <w:pPr>
        <w:pStyle w:val="Prrafodelista"/>
        <w:autoSpaceDE w:val="0"/>
        <w:autoSpaceDN w:val="0"/>
        <w:adjustRightInd w:val="0"/>
        <w:ind w:left="0" w:right="424"/>
        <w:jc w:val="center"/>
        <w:rPr>
          <w:rFonts w:ascii="Times New Roman" w:hAnsi="Times New Roman" w:cs="Times New Roman"/>
          <w:sz w:val="24"/>
          <w:szCs w:val="24"/>
        </w:rPr>
      </w:pPr>
      <w:r>
        <w:rPr>
          <w:rFonts w:ascii="Times New Roman" w:hAnsi="Times New Roman" w:cs="Times New Roman"/>
          <w:sz w:val="24"/>
          <w:szCs w:val="24"/>
        </w:rPr>
        <w:t>A Caseta da Parapicota .Na zona iría unha antena</w:t>
      </w:r>
    </w:p>
    <w:p w14:paraId="10492629" w14:textId="77777777" w:rsidR="00D62200" w:rsidRDefault="00D62200" w:rsidP="00D62200">
      <w:pPr>
        <w:pStyle w:val="Prrafodelista"/>
        <w:autoSpaceDE w:val="0"/>
        <w:autoSpaceDN w:val="0"/>
        <w:adjustRightInd w:val="0"/>
        <w:ind w:left="0" w:right="424"/>
        <w:jc w:val="center"/>
        <w:rPr>
          <w:rFonts w:ascii="Times New Roman" w:hAnsi="Times New Roman" w:cs="Times New Roman"/>
          <w:sz w:val="24"/>
          <w:szCs w:val="24"/>
        </w:rPr>
      </w:pPr>
    </w:p>
    <w:p w14:paraId="6149B654" w14:textId="77777777" w:rsidR="00D62200" w:rsidRDefault="00D62200" w:rsidP="00D62200">
      <w:pPr>
        <w:pStyle w:val="Prrafodelista"/>
        <w:autoSpaceDE w:val="0"/>
        <w:autoSpaceDN w:val="0"/>
        <w:adjustRightInd w:val="0"/>
        <w:ind w:left="0" w:right="424"/>
        <w:jc w:val="center"/>
        <w:rPr>
          <w:rFonts w:ascii="Times New Roman" w:hAnsi="Times New Roman" w:cs="Times New Roman"/>
          <w:sz w:val="24"/>
          <w:szCs w:val="24"/>
        </w:rPr>
      </w:pPr>
      <w:r>
        <w:rPr>
          <w:noProof/>
          <w:lang w:eastAsia="es-ES"/>
        </w:rPr>
        <w:drawing>
          <wp:inline distT="0" distB="0" distL="0" distR="0" wp14:anchorId="2241FC2A" wp14:editId="587394EC">
            <wp:extent cx="5030824" cy="2455523"/>
            <wp:effectExtent l="0" t="0" r="0"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a:ext>
                      </a:extLst>
                    </a:blip>
                    <a:srcRect/>
                    <a:stretch/>
                  </pic:blipFill>
                  <pic:spPr bwMode="auto">
                    <a:xfrm>
                      <a:off x="0" y="0"/>
                      <a:ext cx="5077536" cy="2478323"/>
                    </a:xfrm>
                    <a:prstGeom prst="rect">
                      <a:avLst/>
                    </a:prstGeom>
                    <a:ln>
                      <a:noFill/>
                    </a:ln>
                    <a:extLst>
                      <a:ext uri="{53640926-AAD7-44D8-BBD7-CCE9431645EC}">
                        <a14:shadowObscured xmlns:a14="http://schemas.microsoft.com/office/drawing/2010/main"/>
                      </a:ext>
                    </a:extLst>
                  </pic:spPr>
                </pic:pic>
              </a:graphicData>
            </a:graphic>
          </wp:inline>
        </w:drawing>
      </w:r>
    </w:p>
    <w:p w14:paraId="63E4A0A3" w14:textId="77777777" w:rsidR="00D62200" w:rsidRDefault="00D62200" w:rsidP="00D62200">
      <w:pPr>
        <w:pStyle w:val="Prrafodelista"/>
        <w:autoSpaceDE w:val="0"/>
        <w:autoSpaceDN w:val="0"/>
        <w:adjustRightInd w:val="0"/>
        <w:ind w:left="0" w:right="424"/>
        <w:jc w:val="center"/>
        <w:rPr>
          <w:rFonts w:ascii="Times New Roman" w:hAnsi="Times New Roman" w:cs="Times New Roman"/>
          <w:sz w:val="24"/>
          <w:szCs w:val="24"/>
        </w:rPr>
      </w:pPr>
      <w:r>
        <w:rPr>
          <w:noProof/>
          <w:lang w:eastAsia="es-ES"/>
        </w:rPr>
        <w:drawing>
          <wp:inline distT="0" distB="0" distL="0" distR="0" wp14:anchorId="65250E61" wp14:editId="59A5879D">
            <wp:extent cx="5293763" cy="2393878"/>
            <wp:effectExtent l="0" t="0" r="2540" b="698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5352376" cy="2420383"/>
                    </a:xfrm>
                    <a:prstGeom prst="rect">
                      <a:avLst/>
                    </a:prstGeom>
                    <a:ln>
                      <a:noFill/>
                    </a:ln>
                    <a:extLst>
                      <a:ext uri="{53640926-AAD7-44D8-BBD7-CCE9431645EC}">
                        <a14:shadowObscured xmlns:a14="http://schemas.microsoft.com/office/drawing/2010/main"/>
                      </a:ext>
                    </a:extLst>
                  </pic:spPr>
                </pic:pic>
              </a:graphicData>
            </a:graphic>
          </wp:inline>
        </w:drawing>
      </w:r>
    </w:p>
    <w:p w14:paraId="54F36B2D" w14:textId="77777777" w:rsidR="00D62200" w:rsidRDefault="00D62200" w:rsidP="00D62200">
      <w:pPr>
        <w:pStyle w:val="Prrafodelista"/>
        <w:autoSpaceDE w:val="0"/>
        <w:autoSpaceDN w:val="0"/>
        <w:adjustRightInd w:val="0"/>
        <w:ind w:left="0" w:right="424"/>
        <w:jc w:val="center"/>
        <w:rPr>
          <w:rFonts w:ascii="Times New Roman" w:hAnsi="Times New Roman" w:cs="Times New Roman"/>
          <w:sz w:val="24"/>
          <w:szCs w:val="24"/>
        </w:rPr>
      </w:pPr>
      <w:r>
        <w:rPr>
          <w:noProof/>
          <w:lang w:eastAsia="es-ES"/>
        </w:rPr>
        <w:lastRenderedPageBreak/>
        <w:drawing>
          <wp:inline distT="0" distB="0" distL="0" distR="0" wp14:anchorId="3E506CD9" wp14:editId="2E6CA05E">
            <wp:extent cx="5293360" cy="2171012"/>
            <wp:effectExtent l="0" t="0" r="2540"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5353885" cy="2195836"/>
                    </a:xfrm>
                    <a:prstGeom prst="rect">
                      <a:avLst/>
                    </a:prstGeom>
                    <a:ln>
                      <a:noFill/>
                    </a:ln>
                    <a:extLst>
                      <a:ext uri="{53640926-AAD7-44D8-BBD7-CCE9431645EC}">
                        <a14:shadowObscured xmlns:a14="http://schemas.microsoft.com/office/drawing/2010/main"/>
                      </a:ext>
                    </a:extLst>
                  </pic:spPr>
                </pic:pic>
              </a:graphicData>
            </a:graphic>
          </wp:inline>
        </w:drawing>
      </w:r>
    </w:p>
    <w:p w14:paraId="19636EA6" w14:textId="77777777" w:rsidR="00D62200" w:rsidRPr="00090AB5" w:rsidRDefault="00D62200" w:rsidP="00D62200">
      <w:pPr>
        <w:pStyle w:val="Prrafodelista"/>
        <w:autoSpaceDE w:val="0"/>
        <w:autoSpaceDN w:val="0"/>
        <w:adjustRightInd w:val="0"/>
        <w:ind w:left="0" w:right="424"/>
        <w:jc w:val="center"/>
        <w:rPr>
          <w:rFonts w:ascii="Times New Roman" w:hAnsi="Times New Roman" w:cs="Times New Roman"/>
          <w:sz w:val="20"/>
          <w:szCs w:val="20"/>
        </w:rPr>
      </w:pPr>
      <w:r w:rsidRPr="00090AB5">
        <w:rPr>
          <w:rFonts w:ascii="Times New Roman" w:hAnsi="Times New Roman" w:cs="Times New Roman"/>
          <w:sz w:val="20"/>
          <w:szCs w:val="20"/>
        </w:rPr>
        <w:t>Caseta do Niño do Corvo.</w:t>
      </w:r>
    </w:p>
    <w:p w14:paraId="16988CDB" w14:textId="77777777" w:rsidR="00D62200" w:rsidRDefault="00D62200" w:rsidP="00D62200">
      <w:pPr>
        <w:pStyle w:val="Prrafodelista"/>
        <w:autoSpaceDE w:val="0"/>
        <w:autoSpaceDN w:val="0"/>
        <w:adjustRightInd w:val="0"/>
        <w:ind w:left="0" w:right="424"/>
        <w:jc w:val="center"/>
        <w:rPr>
          <w:rFonts w:ascii="Times New Roman" w:hAnsi="Times New Roman" w:cs="Times New Roman"/>
          <w:sz w:val="24"/>
          <w:szCs w:val="24"/>
        </w:rPr>
      </w:pPr>
      <w:r>
        <w:rPr>
          <w:noProof/>
          <w:lang w:eastAsia="es-ES"/>
        </w:rPr>
        <w:drawing>
          <wp:inline distT="0" distB="0" distL="0" distR="0" wp14:anchorId="18510055" wp14:editId="7686699C">
            <wp:extent cx="5270643" cy="2878923"/>
            <wp:effectExtent l="0" t="0" r="635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a:ext>
                      </a:extLst>
                    </a:blip>
                    <a:srcRect/>
                    <a:stretch/>
                  </pic:blipFill>
                  <pic:spPr bwMode="auto">
                    <a:xfrm>
                      <a:off x="0" y="0"/>
                      <a:ext cx="5321131" cy="2906500"/>
                    </a:xfrm>
                    <a:prstGeom prst="rect">
                      <a:avLst/>
                    </a:prstGeom>
                    <a:ln>
                      <a:noFill/>
                    </a:ln>
                    <a:extLst>
                      <a:ext uri="{53640926-AAD7-44D8-BBD7-CCE9431645EC}">
                        <a14:shadowObscured xmlns:a14="http://schemas.microsoft.com/office/drawing/2010/main"/>
                      </a:ext>
                    </a:extLst>
                  </pic:spPr>
                </pic:pic>
              </a:graphicData>
            </a:graphic>
          </wp:inline>
        </w:drawing>
      </w:r>
    </w:p>
    <w:p w14:paraId="75606A06" w14:textId="77777777" w:rsidR="00D62200" w:rsidRDefault="00D62200" w:rsidP="00D62200">
      <w:pPr>
        <w:pStyle w:val="Prrafodelista"/>
        <w:autoSpaceDE w:val="0"/>
        <w:autoSpaceDN w:val="0"/>
        <w:adjustRightInd w:val="0"/>
        <w:ind w:left="927" w:right="424"/>
        <w:rPr>
          <w:rFonts w:ascii="Times New Roman" w:hAnsi="Times New Roman" w:cs="Times New Roman"/>
          <w:sz w:val="24"/>
          <w:szCs w:val="24"/>
        </w:rPr>
      </w:pPr>
    </w:p>
    <w:p w14:paraId="0ED0586D" w14:textId="77777777" w:rsidR="00D62200" w:rsidRPr="00116C80" w:rsidRDefault="00D62200" w:rsidP="00D62200">
      <w:pPr>
        <w:pStyle w:val="Prrafodelista"/>
        <w:autoSpaceDE w:val="0"/>
        <w:autoSpaceDN w:val="0"/>
        <w:adjustRightInd w:val="0"/>
        <w:ind w:left="0" w:right="424"/>
        <w:jc w:val="both"/>
        <w:rPr>
          <w:rStyle w:val="dog-texto-sumario"/>
          <w:rFonts w:cstheme="minorHAnsi"/>
          <w:sz w:val="24"/>
          <w:szCs w:val="24"/>
        </w:rPr>
      </w:pPr>
      <w:r w:rsidRPr="00116C80">
        <w:rPr>
          <w:rFonts w:cstheme="minorHAnsi"/>
          <w:sz w:val="24"/>
          <w:szCs w:val="24"/>
        </w:rPr>
        <w:t xml:space="preserve">Estas casetas forestais forman parte do patrimonio etnográfico e son elementos a conservar e a protexer dentro das Directrices da Paisaxe. Están en fitos paisaxísticos, miradoiros naturais e forman parte do patrimonio inmaterial de Galicia, xuntos con outros elementos como os </w:t>
      </w:r>
      <w:hyperlink r:id="rId96" w:history="1">
        <w:r w:rsidRPr="00116C80">
          <w:rPr>
            <w:rStyle w:val="Hipervnculo"/>
            <w:rFonts w:cstheme="minorHAnsi"/>
            <w:sz w:val="24"/>
            <w:szCs w:val="24"/>
          </w:rPr>
          <w:t>muros de pedra seca, protexidos ploa Unesco</w:t>
        </w:r>
      </w:hyperlink>
      <w:r>
        <w:rPr>
          <w:rStyle w:val="Refdenotaalpie"/>
          <w:rFonts w:cstheme="minorHAnsi"/>
          <w:sz w:val="24"/>
          <w:szCs w:val="24"/>
        </w:rPr>
        <w:footnoteReference w:id="67"/>
      </w:r>
      <w:r w:rsidRPr="00116C80">
        <w:rPr>
          <w:rFonts w:cstheme="minorHAnsi"/>
          <w:sz w:val="24"/>
          <w:szCs w:val="24"/>
        </w:rPr>
        <w:t xml:space="preserve"> e a </w:t>
      </w:r>
      <w:hyperlink r:id="rId97" w:history="1">
        <w:r w:rsidRPr="00116C80">
          <w:rPr>
            <w:rStyle w:val="Hipervnculo"/>
            <w:rFonts w:cstheme="minorHAnsi"/>
            <w:sz w:val="24"/>
            <w:szCs w:val="24"/>
          </w:rPr>
          <w:t>RESOLUCIÓN do 31 de agosto de 2016, da Dirección Xeral do Patrimonio Cultural</w:t>
        </w:r>
      </w:hyperlink>
      <w:r>
        <w:rPr>
          <w:rStyle w:val="Refdenotaalpie"/>
          <w:rFonts w:cstheme="minorHAnsi"/>
          <w:sz w:val="24"/>
          <w:szCs w:val="24"/>
        </w:rPr>
        <w:footnoteReference w:id="68"/>
      </w:r>
      <w:r w:rsidRPr="00116C80">
        <w:rPr>
          <w:rStyle w:val="dog-texto-sumario"/>
          <w:rFonts w:cstheme="minorHAnsi"/>
          <w:sz w:val="24"/>
          <w:szCs w:val="24"/>
        </w:rPr>
        <w:t>, pola que se inclúe no Censo do patrimonio cultural a técnica tradicional da construción coa pedra en seco como manifestación do patrimonio cultural inmaterial.</w:t>
      </w:r>
    </w:p>
    <w:p w14:paraId="69DD04D1" w14:textId="77777777" w:rsidR="00D62200" w:rsidRDefault="00D62200" w:rsidP="00D62200">
      <w:pPr>
        <w:autoSpaceDE w:val="0"/>
        <w:autoSpaceDN w:val="0"/>
        <w:adjustRightInd w:val="0"/>
        <w:spacing w:after="0" w:line="240" w:lineRule="auto"/>
        <w:ind w:right="424"/>
        <w:jc w:val="both"/>
        <w:rPr>
          <w:rFonts w:cstheme="minorHAnsi"/>
          <w:sz w:val="24"/>
          <w:szCs w:val="24"/>
        </w:rPr>
      </w:pPr>
    </w:p>
    <w:p w14:paraId="5F0EC11B" w14:textId="77777777" w:rsidR="00D62200" w:rsidRPr="00116C80" w:rsidRDefault="00D62200" w:rsidP="00D62200">
      <w:pPr>
        <w:autoSpaceDE w:val="0"/>
        <w:autoSpaceDN w:val="0"/>
        <w:adjustRightInd w:val="0"/>
        <w:spacing w:after="0" w:line="240" w:lineRule="auto"/>
        <w:ind w:right="424"/>
        <w:jc w:val="both"/>
        <w:rPr>
          <w:rFonts w:cstheme="minorHAnsi"/>
          <w:b/>
          <w:bCs/>
          <w:i/>
          <w:iCs/>
          <w:sz w:val="24"/>
          <w:szCs w:val="24"/>
        </w:rPr>
      </w:pPr>
      <w:r w:rsidRPr="00116C80">
        <w:rPr>
          <w:rFonts w:cstheme="minorHAnsi"/>
          <w:sz w:val="24"/>
          <w:szCs w:val="24"/>
        </w:rPr>
        <w:t xml:space="preserve">Por outra banda forman parte da historia cultural e etnográfica da Serra da Groba, con data de nacemento nas primeiras repoboacións forestais dos estado na primeira metade do século XX, documentadas e estudadas como no estudo </w:t>
      </w:r>
      <w:hyperlink r:id="rId98" w:history="1">
        <w:r w:rsidRPr="00116C80">
          <w:rPr>
            <w:rStyle w:val="Hipervnculo"/>
            <w:rFonts w:cstheme="minorHAnsi"/>
            <w:i/>
            <w:iCs/>
            <w:sz w:val="24"/>
            <w:szCs w:val="24"/>
          </w:rPr>
          <w:t>Repoboación forestal na Serra da Groba e conflitividade campesiña</w:t>
        </w:r>
      </w:hyperlink>
      <w:r>
        <w:rPr>
          <w:rStyle w:val="Refdenotaalpie"/>
          <w:rFonts w:cstheme="minorHAnsi"/>
          <w:b/>
          <w:bCs/>
          <w:i/>
          <w:iCs/>
          <w:sz w:val="24"/>
          <w:szCs w:val="24"/>
        </w:rPr>
        <w:footnoteReference w:id="69"/>
      </w:r>
    </w:p>
    <w:p w14:paraId="54131A53" w14:textId="77777777" w:rsidR="00D62200" w:rsidRPr="00116C80" w:rsidRDefault="00D62200" w:rsidP="00D62200">
      <w:pPr>
        <w:autoSpaceDE w:val="0"/>
        <w:autoSpaceDN w:val="0"/>
        <w:adjustRightInd w:val="0"/>
        <w:spacing w:after="0" w:line="240" w:lineRule="auto"/>
        <w:ind w:right="424"/>
        <w:jc w:val="both"/>
        <w:rPr>
          <w:rFonts w:cstheme="minorHAnsi"/>
          <w:i/>
          <w:iCs/>
          <w:sz w:val="24"/>
          <w:szCs w:val="24"/>
        </w:rPr>
      </w:pPr>
      <w:r w:rsidRPr="00116C80">
        <w:rPr>
          <w:rFonts w:cstheme="minorHAnsi"/>
          <w:sz w:val="24"/>
          <w:szCs w:val="24"/>
        </w:rPr>
        <w:t xml:space="preserve">Revista de Estudos Miñoranos | nº 12-13 | 2014 |. </w:t>
      </w:r>
      <w:r w:rsidRPr="00116C80">
        <w:rPr>
          <w:rFonts w:cstheme="minorHAnsi"/>
          <w:i/>
          <w:iCs/>
          <w:sz w:val="24"/>
          <w:szCs w:val="24"/>
        </w:rPr>
        <w:t>Lara Barros Alfaro.</w:t>
      </w:r>
    </w:p>
    <w:p w14:paraId="7BE5C31B" w14:textId="77777777" w:rsidR="00D62200" w:rsidRDefault="00D62200" w:rsidP="00D62200">
      <w:pPr>
        <w:ind w:right="424"/>
      </w:pPr>
    </w:p>
    <w:p w14:paraId="387AE4A9" w14:textId="77777777" w:rsidR="00D62200" w:rsidRPr="00CB5DB4" w:rsidRDefault="00D62200" w:rsidP="00090AB5">
      <w:pPr>
        <w:pStyle w:val="Default"/>
        <w:numPr>
          <w:ilvl w:val="0"/>
          <w:numId w:val="11"/>
        </w:numPr>
        <w:shd w:val="clear" w:color="auto" w:fill="C6D9F1"/>
        <w:spacing w:before="120"/>
        <w:ind w:right="424" w:hanging="1637"/>
        <w:jc w:val="both"/>
        <w:outlineLvl w:val="0"/>
        <w:rPr>
          <w:rFonts w:ascii="Calibri" w:hAnsi="Calibri" w:cs="Calibri"/>
          <w:b/>
          <w:bCs/>
        </w:rPr>
      </w:pPr>
      <w:bookmarkStart w:id="473" w:name="_Toc132511046"/>
      <w:r>
        <w:rPr>
          <w:rFonts w:ascii="Calibri" w:hAnsi="Calibri" w:cs="Calibri"/>
          <w:b/>
          <w:bCs/>
        </w:rPr>
        <w:t>Afección grave aos marcos históricos do Monte Foral da Groba.</w:t>
      </w:r>
      <w:bookmarkEnd w:id="473"/>
      <w:r>
        <w:rPr>
          <w:rFonts w:ascii="Calibri" w:hAnsi="Calibri" w:cs="Calibri"/>
          <w:b/>
          <w:bCs/>
        </w:rPr>
        <w:t xml:space="preserve"> </w:t>
      </w:r>
    </w:p>
    <w:p w14:paraId="5DA2F8FD" w14:textId="77777777" w:rsidR="00D62200" w:rsidRDefault="00D62200" w:rsidP="00D62200">
      <w:pPr>
        <w:pStyle w:val="Prrafodelista"/>
        <w:autoSpaceDE w:val="0"/>
        <w:autoSpaceDN w:val="0"/>
        <w:adjustRightInd w:val="0"/>
        <w:ind w:left="0" w:right="424"/>
        <w:jc w:val="both"/>
        <w:rPr>
          <w:rFonts w:eastAsiaTheme="minorHAnsi"/>
          <w:b/>
          <w:sz w:val="24"/>
          <w:szCs w:val="24"/>
        </w:rPr>
      </w:pPr>
    </w:p>
    <w:p w14:paraId="5036FAB2" w14:textId="77777777" w:rsidR="00D62200" w:rsidRPr="007113CB" w:rsidRDefault="00D62200" w:rsidP="00D62200">
      <w:pPr>
        <w:pStyle w:val="Prrafodelista"/>
        <w:autoSpaceDE w:val="0"/>
        <w:autoSpaceDN w:val="0"/>
        <w:adjustRightInd w:val="0"/>
        <w:ind w:left="0" w:right="424"/>
        <w:jc w:val="both"/>
        <w:rPr>
          <w:rFonts w:ascii="Arial" w:eastAsiaTheme="minorHAnsi" w:hAnsi="Arial" w:cs="Arial"/>
          <w:color w:val="1A73E8"/>
          <w:sz w:val="18"/>
          <w:szCs w:val="18"/>
          <w:u w:val="single"/>
          <w:shd w:val="clear" w:color="auto" w:fill="FFFFFF"/>
          <w:lang w:val="gl-ES"/>
        </w:rPr>
      </w:pPr>
      <w:r>
        <w:rPr>
          <w:rFonts w:eastAsiaTheme="minorHAnsi"/>
          <w:sz w:val="24"/>
          <w:szCs w:val="24"/>
        </w:rPr>
        <w:lastRenderedPageBreak/>
        <w:t>O</w:t>
      </w:r>
      <w:r w:rsidRPr="007113CB">
        <w:rPr>
          <w:rFonts w:eastAsiaTheme="minorHAnsi"/>
          <w:sz w:val="24"/>
          <w:szCs w:val="24"/>
        </w:rPr>
        <w:t xml:space="preserve">utro fito senlleiro da Groba que ten un perímetro moi extenso e que se vería afectado nalgúns dos seus puntos de coincidencia coa liña de evacuación como no </w:t>
      </w:r>
      <w:r w:rsidRPr="007113CB">
        <w:rPr>
          <w:rFonts w:ascii="Arial" w:eastAsiaTheme="minorHAnsi" w:hAnsi="Arial" w:cs="Arial"/>
          <w:color w:val="1A73E8"/>
          <w:sz w:val="18"/>
          <w:szCs w:val="18"/>
          <w:u w:val="single"/>
          <w:shd w:val="clear" w:color="auto" w:fill="FFFFFF"/>
          <w:lang w:val="gl-ES"/>
        </w:rPr>
        <w:t xml:space="preserve">42.053327, -8.831774 e outros. </w:t>
      </w:r>
    </w:p>
    <w:p w14:paraId="683C5102" w14:textId="77777777" w:rsidR="00D62200" w:rsidRPr="007113CB" w:rsidRDefault="00D62200" w:rsidP="00D62200">
      <w:pPr>
        <w:autoSpaceDE w:val="0"/>
        <w:autoSpaceDN w:val="0"/>
        <w:adjustRightInd w:val="0"/>
        <w:spacing w:after="0" w:line="240" w:lineRule="auto"/>
        <w:ind w:right="424"/>
        <w:rPr>
          <w:rFonts w:ascii="Arial" w:hAnsi="Arial" w:cs="Arial"/>
          <w:color w:val="1A73E8"/>
          <w:sz w:val="18"/>
          <w:szCs w:val="18"/>
          <w:u w:val="single"/>
          <w:shd w:val="clear" w:color="auto" w:fill="FFFFFF"/>
          <w:lang w:val="gl-ES"/>
        </w:rPr>
      </w:pPr>
    </w:p>
    <w:p w14:paraId="6CFCAB77" w14:textId="77777777" w:rsidR="00D62200" w:rsidRPr="007113CB" w:rsidRDefault="00D62200" w:rsidP="00D62200">
      <w:pPr>
        <w:autoSpaceDE w:val="0"/>
        <w:autoSpaceDN w:val="0"/>
        <w:adjustRightInd w:val="0"/>
        <w:spacing w:after="0" w:line="240" w:lineRule="auto"/>
        <w:ind w:right="424"/>
        <w:rPr>
          <w:rFonts w:ascii="Arial" w:hAnsi="Arial" w:cs="Arial"/>
          <w:color w:val="1A73E8"/>
          <w:sz w:val="18"/>
          <w:szCs w:val="18"/>
          <w:u w:val="single"/>
          <w:shd w:val="clear" w:color="auto" w:fill="FFFFFF"/>
          <w:lang w:val="gl-ES"/>
        </w:rPr>
      </w:pPr>
    </w:p>
    <w:p w14:paraId="344AEA18" w14:textId="77777777" w:rsidR="00D62200" w:rsidRPr="007113CB" w:rsidRDefault="00D62200" w:rsidP="00D62200">
      <w:pPr>
        <w:autoSpaceDE w:val="0"/>
        <w:autoSpaceDN w:val="0"/>
        <w:adjustRightInd w:val="0"/>
        <w:spacing w:after="0" w:line="240" w:lineRule="auto"/>
        <w:ind w:right="424"/>
        <w:rPr>
          <w:rFonts w:ascii="Arial" w:hAnsi="Arial" w:cs="Arial"/>
          <w:color w:val="1A73E8"/>
          <w:sz w:val="18"/>
          <w:szCs w:val="18"/>
          <w:u w:val="single"/>
          <w:shd w:val="clear" w:color="auto" w:fill="FFFFFF"/>
          <w:lang w:val="gl-ES"/>
        </w:rPr>
      </w:pPr>
    </w:p>
    <w:p w14:paraId="390369EB" w14:textId="77777777" w:rsidR="00D62200" w:rsidRPr="00116C80" w:rsidRDefault="00D62200" w:rsidP="00D62200">
      <w:pPr>
        <w:shd w:val="clear" w:color="auto" w:fill="F7F7F7"/>
        <w:spacing w:after="240" w:line="360" w:lineRule="atLeast"/>
        <w:ind w:right="424" w:firstLine="360"/>
        <w:jc w:val="both"/>
        <w:textAlignment w:val="baseline"/>
        <w:rPr>
          <w:rFonts w:ascii="Source Sans Pro" w:eastAsia="Times New Roman" w:hAnsi="Source Sans Pro"/>
          <w:color w:val="000000"/>
          <w:sz w:val="23"/>
          <w:szCs w:val="23"/>
          <w:lang w:eastAsia="es-ES"/>
        </w:rPr>
      </w:pPr>
      <w:r w:rsidRPr="00116C80">
        <w:rPr>
          <w:rFonts w:ascii="Source Sans Pro" w:eastAsia="Times New Roman" w:hAnsi="Source Sans Pro"/>
          <w:color w:val="000000"/>
          <w:sz w:val="23"/>
          <w:szCs w:val="23"/>
          <w:lang w:eastAsia="es-ES"/>
        </w:rPr>
        <w:t>Elementos do patrimonio cultural material.</w:t>
      </w:r>
    </w:p>
    <w:p w14:paraId="530335FC" w14:textId="77777777" w:rsidR="00D62200" w:rsidRPr="00116C80" w:rsidRDefault="00D62200" w:rsidP="00D62200">
      <w:pPr>
        <w:shd w:val="clear" w:color="auto" w:fill="F7F7F7"/>
        <w:spacing w:after="240" w:line="360" w:lineRule="atLeast"/>
        <w:ind w:right="424" w:firstLine="360"/>
        <w:jc w:val="both"/>
        <w:textAlignment w:val="baseline"/>
        <w:rPr>
          <w:rFonts w:ascii="Source Sans Pro" w:eastAsia="Times New Roman" w:hAnsi="Source Sans Pro"/>
          <w:color w:val="000000"/>
          <w:sz w:val="23"/>
          <w:szCs w:val="23"/>
          <w:lang w:eastAsia="es-ES"/>
        </w:rPr>
      </w:pPr>
      <w:r w:rsidRPr="00116C80">
        <w:rPr>
          <w:rFonts w:ascii="Source Sans Pro" w:eastAsia="Times New Roman" w:hAnsi="Source Sans Pro"/>
          <w:color w:val="000000"/>
          <w:sz w:val="23"/>
          <w:szCs w:val="23"/>
          <w:lang w:eastAsia="es-ES"/>
        </w:rPr>
        <w:t>– Un patrimonio cultural protexido, respectado e integrado nas escenas paisaxísticas en que se asenta, atendendo á súa relación con outros elementos configuradores da matriz paisaxística e na procura dunha correcta xestión ou recuperación no caso de ser preciso.</w:t>
      </w:r>
    </w:p>
    <w:p w14:paraId="3D3AE7AD" w14:textId="77777777" w:rsidR="00D62200" w:rsidRPr="00116C80" w:rsidRDefault="00D62200" w:rsidP="00D62200">
      <w:pPr>
        <w:shd w:val="clear" w:color="auto" w:fill="F7F7F7"/>
        <w:spacing w:after="240" w:line="360" w:lineRule="atLeast"/>
        <w:ind w:right="424" w:firstLine="360"/>
        <w:jc w:val="both"/>
        <w:textAlignment w:val="baseline"/>
        <w:rPr>
          <w:rFonts w:ascii="Source Sans Pro" w:eastAsia="Times New Roman" w:hAnsi="Source Sans Pro"/>
          <w:color w:val="000000"/>
          <w:sz w:val="23"/>
          <w:szCs w:val="23"/>
          <w:lang w:eastAsia="es-ES"/>
        </w:rPr>
      </w:pPr>
      <w:r w:rsidRPr="00116C80">
        <w:rPr>
          <w:rFonts w:ascii="Source Sans Pro" w:eastAsia="Times New Roman" w:hAnsi="Source Sans Pro"/>
          <w:color w:val="000000"/>
          <w:sz w:val="23"/>
          <w:szCs w:val="23"/>
          <w:lang w:eastAsia="es-ES"/>
        </w:rPr>
        <w:t>– Un patrimonio material reflexo das interaccións pasadas entre o ser humano e o territorio, expresión territorial das condicións socioeconómicas dos diversos períodos históricos e posto en valor a través do seu estudo e divulgación.</w:t>
      </w:r>
    </w:p>
    <w:p w14:paraId="17D6BD9A" w14:textId="77777777" w:rsidR="00D62200" w:rsidRPr="007113CB" w:rsidRDefault="00D62200" w:rsidP="00D62200">
      <w:pPr>
        <w:shd w:val="clear" w:color="auto" w:fill="F7F7F7"/>
        <w:spacing w:after="240" w:line="360" w:lineRule="atLeast"/>
        <w:ind w:right="424" w:firstLine="360"/>
        <w:jc w:val="both"/>
        <w:textAlignment w:val="baseline"/>
        <w:rPr>
          <w:rFonts w:ascii="Source Sans Pro" w:eastAsia="Times New Roman" w:hAnsi="Source Sans Pro"/>
          <w:color w:val="000000"/>
          <w:sz w:val="23"/>
          <w:szCs w:val="23"/>
          <w:lang w:eastAsia="es-ES"/>
        </w:rPr>
      </w:pPr>
      <w:r w:rsidRPr="00116C80">
        <w:rPr>
          <w:rFonts w:ascii="Source Sans Pro" w:eastAsia="Times New Roman" w:hAnsi="Source Sans Pro"/>
          <w:color w:val="000000"/>
          <w:sz w:val="23"/>
          <w:szCs w:val="23"/>
          <w:lang w:eastAsia="es-ES"/>
        </w:rPr>
        <w:t>– Uns elementos do patrimonio material identificados como configuradores da paisaxe, compatibilizando a súa presenza coa doutros valores estéticos, naturais e produtivos.</w:t>
      </w:r>
    </w:p>
    <w:p w14:paraId="24348A0C" w14:textId="77777777" w:rsidR="00D62200" w:rsidRPr="007113CB" w:rsidRDefault="00D62200" w:rsidP="00D62200">
      <w:pPr>
        <w:autoSpaceDE w:val="0"/>
        <w:autoSpaceDN w:val="0"/>
        <w:adjustRightInd w:val="0"/>
        <w:spacing w:after="0" w:line="240" w:lineRule="auto"/>
        <w:ind w:right="424"/>
        <w:rPr>
          <w:rFonts w:cs="Calibri"/>
          <w:sz w:val="24"/>
          <w:szCs w:val="24"/>
        </w:rPr>
      </w:pPr>
    </w:p>
    <w:p w14:paraId="0EA0C4AE" w14:textId="77777777" w:rsidR="00D62200" w:rsidRPr="00DA63A9" w:rsidRDefault="00D62200" w:rsidP="00D62200">
      <w:pPr>
        <w:spacing w:after="160" w:line="259" w:lineRule="auto"/>
        <w:ind w:right="424"/>
        <w:jc w:val="both"/>
        <w:rPr>
          <w:rFonts w:cstheme="minorHAnsi"/>
          <w:sz w:val="24"/>
          <w:szCs w:val="24"/>
          <w:lang w:val="gl-ES"/>
        </w:rPr>
      </w:pPr>
      <w:r w:rsidRPr="00DA63A9">
        <w:rPr>
          <w:rFonts w:cs="Calibri"/>
          <w:sz w:val="24"/>
          <w:szCs w:val="24"/>
        </w:rPr>
        <w:t xml:space="preserve">Este Monte Foral da Groba ten </w:t>
      </w:r>
      <w:r w:rsidRPr="00DA63A9">
        <w:rPr>
          <w:rFonts w:cs="Calibri"/>
          <w:b/>
          <w:sz w:val="24"/>
          <w:szCs w:val="24"/>
        </w:rPr>
        <w:t>fitos de pedra</w:t>
      </w:r>
      <w:r w:rsidRPr="00DA63A9">
        <w:rPr>
          <w:rFonts w:cs="Calibri"/>
          <w:sz w:val="24"/>
          <w:szCs w:val="24"/>
        </w:rPr>
        <w:t xml:space="preserve"> que o delimitan e que teñen nalgúns casos marcas e debuxos senlleiros,  constitúen un patrimonio etnográfico de primeira orde, protexido pola lei </w:t>
      </w:r>
      <w:r w:rsidRPr="00DA63A9">
        <w:rPr>
          <w:rFonts w:cstheme="minorHAnsi"/>
          <w:sz w:val="24"/>
          <w:szCs w:val="24"/>
          <w:lang w:val="gl-ES"/>
        </w:rPr>
        <w:t>. Esta paisaxe e os muros tradicionais de pedra en seco  forman parte do Patrimonio Inmaterial protexidos pola UNESCO e pola Xunta de Galicia .</w:t>
      </w:r>
    </w:p>
    <w:p w14:paraId="48A60447" w14:textId="77777777" w:rsidR="00D62200" w:rsidRPr="00DA63A9" w:rsidRDefault="00D62200" w:rsidP="00D62200">
      <w:pPr>
        <w:spacing w:after="160" w:line="259" w:lineRule="auto"/>
        <w:ind w:right="424"/>
        <w:jc w:val="both"/>
        <w:rPr>
          <w:rFonts w:cstheme="minorHAnsi"/>
          <w:i/>
          <w:iCs/>
          <w:color w:val="000000"/>
          <w:sz w:val="24"/>
          <w:szCs w:val="24"/>
          <w:shd w:val="clear" w:color="auto" w:fill="F7F7F7"/>
          <w:lang w:val="gl-ES"/>
        </w:rPr>
      </w:pPr>
      <w:r w:rsidRPr="00DA63A9">
        <w:rPr>
          <w:rFonts w:cstheme="minorHAnsi"/>
          <w:i/>
          <w:iCs/>
          <w:color w:val="000000"/>
          <w:sz w:val="24"/>
          <w:szCs w:val="24"/>
          <w:shd w:val="clear" w:color="auto" w:fill="F7F7F7"/>
          <w:lang w:val="gl-ES"/>
        </w:rPr>
        <w:t xml:space="preserve">. </w:t>
      </w:r>
      <w:hyperlink r:id="rId99" w:history="1">
        <w:r w:rsidRPr="00DA63A9">
          <w:rPr>
            <w:rStyle w:val="Hipervnculo"/>
            <w:rFonts w:cstheme="minorHAnsi"/>
            <w:i/>
            <w:iCs/>
            <w:sz w:val="24"/>
            <w:szCs w:val="24"/>
            <w:shd w:val="clear" w:color="auto" w:fill="F7F7F7"/>
            <w:lang w:val="gl-ES"/>
          </w:rPr>
          <w:t>RESOLUCIÓN do 31 de agosto de 2016, da Dirección Xeral do Patrimonio Cultural</w:t>
        </w:r>
      </w:hyperlink>
      <w:r w:rsidRPr="00DA63A9">
        <w:rPr>
          <w:rFonts w:cstheme="minorHAnsi"/>
          <w:i/>
          <w:iCs/>
          <w:color w:val="000000"/>
          <w:sz w:val="24"/>
          <w:szCs w:val="24"/>
          <w:shd w:val="clear" w:color="auto" w:fill="F7F7F7"/>
          <w:lang w:val="gl-ES"/>
        </w:rPr>
        <w:t>, pola que se inclúe no Censo do patrimonio cultural a técnica tradicional da construción coa pedra en seco como manifestación do patrimonio cultural inmaterial.</w:t>
      </w:r>
    </w:p>
    <w:p w14:paraId="23FEF30F" w14:textId="77777777" w:rsidR="00D62200" w:rsidRPr="00DA63A9" w:rsidRDefault="00D62200" w:rsidP="00D62200">
      <w:pPr>
        <w:spacing w:after="160" w:line="259" w:lineRule="auto"/>
        <w:ind w:right="424"/>
        <w:jc w:val="both"/>
        <w:rPr>
          <w:rFonts w:cstheme="minorHAnsi"/>
          <w:i/>
          <w:iCs/>
          <w:color w:val="000000"/>
          <w:sz w:val="24"/>
          <w:szCs w:val="24"/>
          <w:shd w:val="clear" w:color="auto" w:fill="F7F7F7"/>
          <w:lang w:val="gl-ES"/>
        </w:rPr>
      </w:pPr>
      <w:r w:rsidRPr="00DA63A9">
        <w:rPr>
          <w:rFonts w:cstheme="minorHAnsi"/>
          <w:i/>
          <w:iCs/>
          <w:color w:val="000000"/>
          <w:sz w:val="24"/>
          <w:szCs w:val="24"/>
          <w:shd w:val="clear" w:color="auto" w:fill="F7F7F7"/>
          <w:lang w:val="gl-ES"/>
        </w:rPr>
        <w:t xml:space="preserve">. </w:t>
      </w:r>
      <w:hyperlink r:id="rId100" w:history="1">
        <w:r w:rsidRPr="00DA63A9">
          <w:rPr>
            <w:rStyle w:val="Hipervnculo"/>
            <w:rFonts w:cstheme="minorHAnsi"/>
            <w:i/>
            <w:iCs/>
            <w:sz w:val="24"/>
            <w:szCs w:val="24"/>
            <w:shd w:val="clear" w:color="auto" w:fill="F7F7F7"/>
            <w:lang w:val="gl-ES"/>
          </w:rPr>
          <w:t>DECRETO 238/2020, do 29 de decembro, polo que se aproban as Directrices de paisaxe de Galicia.</w:t>
        </w:r>
      </w:hyperlink>
      <w:r>
        <w:rPr>
          <w:rStyle w:val="Refdenotaalpie"/>
          <w:rFonts w:cstheme="minorHAnsi"/>
          <w:i/>
          <w:iCs/>
          <w:color w:val="000000"/>
          <w:sz w:val="24"/>
          <w:szCs w:val="24"/>
          <w:shd w:val="clear" w:color="auto" w:fill="F7F7F7"/>
          <w:lang w:val="gl-ES"/>
        </w:rPr>
        <w:footnoteReference w:id="70"/>
      </w:r>
    </w:p>
    <w:p w14:paraId="06BF4312" w14:textId="77777777" w:rsidR="00D62200" w:rsidRPr="00DA63A9" w:rsidRDefault="00D62200" w:rsidP="00D62200">
      <w:pPr>
        <w:spacing w:after="160" w:line="259" w:lineRule="auto"/>
        <w:ind w:right="424"/>
        <w:jc w:val="both"/>
        <w:rPr>
          <w:rFonts w:cstheme="minorHAnsi"/>
          <w:i/>
          <w:iCs/>
          <w:color w:val="000000"/>
          <w:sz w:val="24"/>
          <w:szCs w:val="24"/>
          <w:shd w:val="clear" w:color="auto" w:fill="F7F7F7"/>
          <w:lang w:val="gl-ES"/>
        </w:rPr>
      </w:pPr>
      <w:r w:rsidRPr="00DA63A9">
        <w:rPr>
          <w:rFonts w:cstheme="minorHAnsi"/>
          <w:color w:val="000000"/>
          <w:sz w:val="24"/>
          <w:szCs w:val="24"/>
          <w:shd w:val="clear" w:color="auto" w:fill="F7F7F7"/>
          <w:lang w:val="gl-ES"/>
        </w:rPr>
        <w:t>– Uns bancais e socalcos que conserven a súa funcionalidade produtiva e de delimitación, mantendo a actividade agrícola tradicional que os orixinou e nos cales se eviten alteracións topográficas que modifiquen a súa morfoloxía ou uniformicen o espazo en que se asentan.</w:t>
      </w:r>
    </w:p>
    <w:p w14:paraId="727CBAFD" w14:textId="77777777" w:rsidR="00D62200" w:rsidRPr="007113CB" w:rsidRDefault="00D62200" w:rsidP="00D62200">
      <w:pPr>
        <w:spacing w:after="160" w:line="259" w:lineRule="auto"/>
        <w:ind w:right="424"/>
        <w:rPr>
          <w:rFonts w:cstheme="minorHAnsi"/>
          <w:i/>
          <w:iCs/>
          <w:color w:val="000000"/>
          <w:shd w:val="clear" w:color="auto" w:fill="F7F7F7"/>
          <w:lang w:val="gl-ES"/>
        </w:rPr>
      </w:pPr>
    </w:p>
    <w:p w14:paraId="361E779E" w14:textId="77777777" w:rsidR="00D62200" w:rsidRPr="007113CB" w:rsidRDefault="00D62200" w:rsidP="00D62200">
      <w:pPr>
        <w:autoSpaceDE w:val="0"/>
        <w:autoSpaceDN w:val="0"/>
        <w:adjustRightInd w:val="0"/>
        <w:spacing w:after="0" w:line="240" w:lineRule="auto"/>
        <w:ind w:right="424"/>
        <w:jc w:val="center"/>
        <w:rPr>
          <w:rFonts w:cs="Calibri"/>
          <w:color w:val="0000FF" w:themeColor="hyperlink"/>
          <w:sz w:val="24"/>
          <w:szCs w:val="24"/>
          <w:u w:val="single"/>
        </w:rPr>
      </w:pPr>
      <w:r w:rsidRPr="007113CB">
        <w:rPr>
          <w:noProof/>
          <w:lang w:eastAsia="es-ES"/>
        </w:rPr>
        <w:lastRenderedPageBreak/>
        <w:drawing>
          <wp:inline distT="0" distB="0" distL="0" distR="0" wp14:anchorId="1D8E705F" wp14:editId="7C79B929">
            <wp:extent cx="5250180" cy="2140955"/>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a:ext>
                      </a:extLst>
                    </a:blip>
                    <a:srcRect/>
                    <a:stretch/>
                  </pic:blipFill>
                  <pic:spPr bwMode="auto">
                    <a:xfrm>
                      <a:off x="0" y="0"/>
                      <a:ext cx="5264962" cy="2146983"/>
                    </a:xfrm>
                    <a:prstGeom prst="rect">
                      <a:avLst/>
                    </a:prstGeom>
                    <a:ln>
                      <a:noFill/>
                    </a:ln>
                    <a:extLst>
                      <a:ext uri="{53640926-AAD7-44D8-BBD7-CCE9431645EC}">
                        <a14:shadowObscured xmlns:a14="http://schemas.microsoft.com/office/drawing/2010/main"/>
                      </a:ext>
                    </a:extLst>
                  </pic:spPr>
                </pic:pic>
              </a:graphicData>
            </a:graphic>
          </wp:inline>
        </w:drawing>
      </w:r>
    </w:p>
    <w:p w14:paraId="49DFBE0B" w14:textId="77777777" w:rsidR="00D62200" w:rsidRPr="007113CB" w:rsidRDefault="00D62200" w:rsidP="00D62200">
      <w:pPr>
        <w:autoSpaceDE w:val="0"/>
        <w:autoSpaceDN w:val="0"/>
        <w:adjustRightInd w:val="0"/>
        <w:spacing w:after="0" w:line="240" w:lineRule="auto"/>
        <w:ind w:right="424"/>
        <w:rPr>
          <w:rFonts w:cs="Calibri"/>
          <w:sz w:val="24"/>
          <w:szCs w:val="24"/>
        </w:rPr>
      </w:pPr>
    </w:p>
    <w:p w14:paraId="278A7713" w14:textId="77777777" w:rsidR="00D62200" w:rsidRPr="007113CB" w:rsidRDefault="00D62200" w:rsidP="00D62200">
      <w:pPr>
        <w:autoSpaceDE w:val="0"/>
        <w:autoSpaceDN w:val="0"/>
        <w:adjustRightInd w:val="0"/>
        <w:spacing w:after="0" w:line="240" w:lineRule="auto"/>
        <w:ind w:right="424"/>
        <w:jc w:val="center"/>
        <w:rPr>
          <w:rFonts w:cs="Calibri"/>
          <w:sz w:val="24"/>
          <w:szCs w:val="24"/>
        </w:rPr>
      </w:pPr>
      <w:r w:rsidRPr="007113CB">
        <w:rPr>
          <w:rFonts w:cs="Calibri"/>
          <w:noProof/>
          <w:sz w:val="24"/>
          <w:szCs w:val="24"/>
          <w:lang w:eastAsia="es-ES"/>
        </w:rPr>
        <w:drawing>
          <wp:inline distT="0" distB="0" distL="0" distR="0" wp14:anchorId="64C15320" wp14:editId="679EEEC7">
            <wp:extent cx="5400040" cy="4051132"/>
            <wp:effectExtent l="7937" t="0" r="0" b="0"/>
            <wp:docPr id="24" name="Imagen 24" descr="C:\Users\IEM\Desktop\Fotos Toroña\P2100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EM\Desktop\Fotos Toroña\P2100787.JPG"/>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rot="16200000">
                      <a:off x="0" y="0"/>
                      <a:ext cx="5400040" cy="4051132"/>
                    </a:xfrm>
                    <a:prstGeom prst="rect">
                      <a:avLst/>
                    </a:prstGeom>
                    <a:noFill/>
                    <a:ln>
                      <a:noFill/>
                    </a:ln>
                  </pic:spPr>
                </pic:pic>
              </a:graphicData>
            </a:graphic>
          </wp:inline>
        </w:drawing>
      </w:r>
    </w:p>
    <w:p w14:paraId="0606EDE5" w14:textId="77777777" w:rsidR="00D62200" w:rsidRPr="007113CB" w:rsidRDefault="00D62200" w:rsidP="00D62200">
      <w:pPr>
        <w:autoSpaceDE w:val="0"/>
        <w:autoSpaceDN w:val="0"/>
        <w:adjustRightInd w:val="0"/>
        <w:spacing w:after="0" w:line="240" w:lineRule="auto"/>
        <w:ind w:right="424"/>
        <w:jc w:val="center"/>
        <w:rPr>
          <w:rFonts w:cs="Calibri"/>
          <w:sz w:val="24"/>
          <w:szCs w:val="24"/>
        </w:rPr>
      </w:pPr>
      <w:r w:rsidRPr="007113CB">
        <w:rPr>
          <w:rFonts w:cs="Calibri"/>
          <w:noProof/>
          <w:sz w:val="24"/>
          <w:szCs w:val="24"/>
          <w:lang w:eastAsia="es-ES"/>
        </w:rPr>
        <w:lastRenderedPageBreak/>
        <w:drawing>
          <wp:inline distT="0" distB="0" distL="0" distR="0" wp14:anchorId="573B47AC" wp14:editId="1839633C">
            <wp:extent cx="4731709" cy="3538220"/>
            <wp:effectExtent l="0" t="0" r="0" b="5080"/>
            <wp:docPr id="25" name="Imagen 25" descr="C:\Users\IEM\Desktop\Fotos Toroña\Fotos Toroña B\IMG_20200227_174814_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EM\Desktop\Fotos Toroña\Fotos Toroña B\IMG_20200227_174814_498.jpg"/>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4738474" cy="3543279"/>
                    </a:xfrm>
                    <a:prstGeom prst="rect">
                      <a:avLst/>
                    </a:prstGeom>
                    <a:noFill/>
                    <a:ln>
                      <a:noFill/>
                    </a:ln>
                  </pic:spPr>
                </pic:pic>
              </a:graphicData>
            </a:graphic>
          </wp:inline>
        </w:drawing>
      </w:r>
      <w:r w:rsidRPr="007113CB">
        <w:rPr>
          <w:rFonts w:cs="Calibri"/>
          <w:noProof/>
          <w:sz w:val="24"/>
          <w:szCs w:val="24"/>
          <w:lang w:eastAsia="es-ES"/>
        </w:rPr>
        <w:drawing>
          <wp:inline distT="0" distB="0" distL="0" distR="0" wp14:anchorId="6CA0AECA" wp14:editId="6B5E6BD9">
            <wp:extent cx="4761769" cy="3572298"/>
            <wp:effectExtent l="0" t="0" r="1270" b="9525"/>
            <wp:docPr id="26" name="Imagen 26" descr="C:\Users\IEM\Desktop\Fotos Toroña\Fotos Toroña B\P136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EM\Desktop\Fotos Toroña\Fotos Toroña B\P1360568.JPG"/>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4769962" cy="3578445"/>
                    </a:xfrm>
                    <a:prstGeom prst="rect">
                      <a:avLst/>
                    </a:prstGeom>
                    <a:noFill/>
                    <a:ln>
                      <a:noFill/>
                    </a:ln>
                  </pic:spPr>
                </pic:pic>
              </a:graphicData>
            </a:graphic>
          </wp:inline>
        </w:drawing>
      </w:r>
    </w:p>
    <w:p w14:paraId="52E12370" w14:textId="77777777" w:rsidR="00D62200" w:rsidRPr="007113CB" w:rsidRDefault="00D62200" w:rsidP="00D62200">
      <w:pPr>
        <w:autoSpaceDE w:val="0"/>
        <w:autoSpaceDN w:val="0"/>
        <w:adjustRightInd w:val="0"/>
        <w:spacing w:after="0" w:line="240" w:lineRule="auto"/>
        <w:ind w:right="424"/>
        <w:rPr>
          <w:rFonts w:cs="Calibri"/>
          <w:sz w:val="24"/>
          <w:szCs w:val="24"/>
        </w:rPr>
      </w:pPr>
    </w:p>
    <w:p w14:paraId="221950D6" w14:textId="77777777" w:rsidR="00D62200" w:rsidRPr="007113CB" w:rsidRDefault="00D62200" w:rsidP="00D62200">
      <w:pPr>
        <w:autoSpaceDE w:val="0"/>
        <w:autoSpaceDN w:val="0"/>
        <w:adjustRightInd w:val="0"/>
        <w:spacing w:after="0" w:line="240" w:lineRule="auto"/>
        <w:ind w:right="424"/>
        <w:jc w:val="center"/>
        <w:rPr>
          <w:rFonts w:cs="Calibri"/>
          <w:sz w:val="24"/>
          <w:szCs w:val="24"/>
        </w:rPr>
      </w:pPr>
      <w:r w:rsidRPr="007113CB">
        <w:rPr>
          <w:rFonts w:cs="Calibri"/>
          <w:noProof/>
          <w:sz w:val="24"/>
          <w:szCs w:val="24"/>
          <w:lang w:eastAsia="es-ES"/>
        </w:rPr>
        <w:lastRenderedPageBreak/>
        <w:drawing>
          <wp:inline distT="0" distB="0" distL="0" distR="0" wp14:anchorId="205C5666" wp14:editId="116B568F">
            <wp:extent cx="5010150" cy="3758635"/>
            <wp:effectExtent l="0" t="0" r="0" b="0"/>
            <wp:docPr id="29" name="Imagen 29" descr="C:\Users\IEM\Desktop\Fotos Toroña\Fotos Toroña B\P136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EM\Desktop\Fotos Toroña\Fotos Toroña B\P1360628.JPG"/>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5012056" cy="3760065"/>
                    </a:xfrm>
                    <a:prstGeom prst="rect">
                      <a:avLst/>
                    </a:prstGeom>
                    <a:noFill/>
                    <a:ln>
                      <a:noFill/>
                    </a:ln>
                  </pic:spPr>
                </pic:pic>
              </a:graphicData>
            </a:graphic>
          </wp:inline>
        </w:drawing>
      </w:r>
    </w:p>
    <w:p w14:paraId="403EF0B8" w14:textId="77777777" w:rsidR="00D62200" w:rsidRDefault="00D62200" w:rsidP="00D62200">
      <w:pPr>
        <w:autoSpaceDE w:val="0"/>
        <w:autoSpaceDN w:val="0"/>
        <w:adjustRightInd w:val="0"/>
        <w:spacing w:after="0" w:line="240" w:lineRule="auto"/>
        <w:ind w:right="424"/>
        <w:jc w:val="center"/>
        <w:rPr>
          <w:rFonts w:cs="Calibri"/>
          <w:sz w:val="20"/>
          <w:szCs w:val="20"/>
        </w:rPr>
      </w:pPr>
      <w:r w:rsidRPr="00DA63A9">
        <w:rPr>
          <w:rFonts w:cs="Calibri"/>
          <w:sz w:val="20"/>
          <w:szCs w:val="20"/>
        </w:rPr>
        <w:t>Monte Foral da Groba. .Marcos e vista xeral da Boca da Groba que está dentro de dito monte.</w:t>
      </w:r>
    </w:p>
    <w:p w14:paraId="49A5878D" w14:textId="77777777" w:rsidR="00D62200" w:rsidRPr="00DA63A9" w:rsidRDefault="00D62200" w:rsidP="00D62200">
      <w:pPr>
        <w:autoSpaceDE w:val="0"/>
        <w:autoSpaceDN w:val="0"/>
        <w:adjustRightInd w:val="0"/>
        <w:spacing w:after="0" w:line="240" w:lineRule="auto"/>
        <w:ind w:right="424"/>
        <w:jc w:val="center"/>
        <w:rPr>
          <w:rFonts w:cs="Calibri"/>
          <w:sz w:val="20"/>
          <w:szCs w:val="20"/>
        </w:rPr>
      </w:pPr>
    </w:p>
    <w:p w14:paraId="6E4E1BB7" w14:textId="77777777" w:rsidR="00D62200" w:rsidRPr="007113CB" w:rsidRDefault="00D62200" w:rsidP="00D62200">
      <w:pPr>
        <w:autoSpaceDE w:val="0"/>
        <w:autoSpaceDN w:val="0"/>
        <w:adjustRightInd w:val="0"/>
        <w:spacing w:after="0" w:line="240" w:lineRule="auto"/>
        <w:ind w:right="424"/>
        <w:jc w:val="center"/>
        <w:rPr>
          <w:rFonts w:cs="Calibri"/>
          <w:sz w:val="24"/>
          <w:szCs w:val="24"/>
        </w:rPr>
      </w:pPr>
      <w:r w:rsidRPr="007113CB">
        <w:rPr>
          <w:rFonts w:cs="Calibri"/>
          <w:noProof/>
          <w:sz w:val="24"/>
          <w:szCs w:val="24"/>
          <w:lang w:eastAsia="es-ES"/>
        </w:rPr>
        <w:drawing>
          <wp:inline distT="0" distB="0" distL="0" distR="0" wp14:anchorId="5DE454B5" wp14:editId="1B929CC4">
            <wp:extent cx="5019675" cy="3765780"/>
            <wp:effectExtent l="0" t="0" r="0" b="6350"/>
            <wp:docPr id="37" name="Imagen 37" descr="C:\Users\IEM\Desktop\Fotos Toroña\P2100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EM\Desktop\Fotos Toroña\P2100791.JPG"/>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5023270" cy="3768477"/>
                    </a:xfrm>
                    <a:prstGeom prst="rect">
                      <a:avLst/>
                    </a:prstGeom>
                    <a:noFill/>
                    <a:ln>
                      <a:noFill/>
                    </a:ln>
                  </pic:spPr>
                </pic:pic>
              </a:graphicData>
            </a:graphic>
          </wp:inline>
        </w:drawing>
      </w:r>
    </w:p>
    <w:p w14:paraId="458A201C" w14:textId="77777777" w:rsidR="00D62200" w:rsidRPr="00DA63A9" w:rsidRDefault="00D62200" w:rsidP="00D62200">
      <w:pPr>
        <w:autoSpaceDE w:val="0"/>
        <w:autoSpaceDN w:val="0"/>
        <w:adjustRightInd w:val="0"/>
        <w:spacing w:after="0" w:line="240" w:lineRule="auto"/>
        <w:ind w:right="424"/>
        <w:jc w:val="center"/>
        <w:rPr>
          <w:rFonts w:cs="Calibri"/>
          <w:sz w:val="20"/>
          <w:szCs w:val="20"/>
        </w:rPr>
      </w:pPr>
      <w:r w:rsidRPr="00DA63A9">
        <w:rPr>
          <w:rFonts w:cs="Calibri"/>
          <w:sz w:val="20"/>
          <w:szCs w:val="20"/>
        </w:rPr>
        <w:t>Camiño entre o Foral da Groba e a mámoa do Cortelliños, por onde pasaría a condución soterrada.</w:t>
      </w:r>
    </w:p>
    <w:p w14:paraId="5EFEA9E9" w14:textId="77777777" w:rsidR="00D62200" w:rsidRDefault="00D62200" w:rsidP="00D62200">
      <w:pPr>
        <w:autoSpaceDE w:val="0"/>
        <w:autoSpaceDN w:val="0"/>
        <w:adjustRightInd w:val="0"/>
        <w:spacing w:after="0" w:line="240" w:lineRule="auto"/>
        <w:ind w:right="424"/>
        <w:rPr>
          <w:rFonts w:cs="Calibri"/>
          <w:sz w:val="24"/>
          <w:szCs w:val="24"/>
        </w:rPr>
      </w:pPr>
    </w:p>
    <w:p w14:paraId="6AC94461" w14:textId="77777777" w:rsidR="00D62200" w:rsidRPr="007113CB" w:rsidRDefault="00D62200" w:rsidP="00D62200">
      <w:pPr>
        <w:autoSpaceDE w:val="0"/>
        <w:autoSpaceDN w:val="0"/>
        <w:adjustRightInd w:val="0"/>
        <w:spacing w:after="0" w:line="240" w:lineRule="auto"/>
        <w:ind w:right="424"/>
        <w:rPr>
          <w:rFonts w:cs="Calibri"/>
          <w:sz w:val="24"/>
          <w:szCs w:val="24"/>
        </w:rPr>
      </w:pPr>
      <w:r>
        <w:rPr>
          <w:rFonts w:cs="Calibri"/>
          <w:sz w:val="24"/>
          <w:szCs w:val="24"/>
        </w:rPr>
        <w:t>Na ficha que aporta o EsIA figura como Mámoa 2 do Areeiro GA36036031.</w:t>
      </w:r>
    </w:p>
    <w:p w14:paraId="46513D4A" w14:textId="77777777" w:rsidR="00D62200" w:rsidRPr="007113CB" w:rsidRDefault="00D62200" w:rsidP="00D62200">
      <w:pPr>
        <w:autoSpaceDE w:val="0"/>
        <w:autoSpaceDN w:val="0"/>
        <w:adjustRightInd w:val="0"/>
        <w:spacing w:after="0" w:line="240" w:lineRule="auto"/>
        <w:ind w:right="424"/>
        <w:rPr>
          <w:rFonts w:cs="Calibri"/>
          <w:sz w:val="24"/>
          <w:szCs w:val="24"/>
        </w:rPr>
      </w:pPr>
    </w:p>
    <w:p w14:paraId="35A92A0F" w14:textId="77777777" w:rsidR="00D62200" w:rsidRPr="007113CB" w:rsidRDefault="00D62200" w:rsidP="00D62200">
      <w:pPr>
        <w:autoSpaceDE w:val="0"/>
        <w:autoSpaceDN w:val="0"/>
        <w:adjustRightInd w:val="0"/>
        <w:spacing w:after="0" w:line="240" w:lineRule="auto"/>
        <w:ind w:right="424"/>
        <w:rPr>
          <w:rFonts w:cs="Calibri"/>
          <w:sz w:val="24"/>
          <w:szCs w:val="24"/>
        </w:rPr>
      </w:pPr>
    </w:p>
    <w:p w14:paraId="35BF43B0" w14:textId="77777777" w:rsidR="00D62200" w:rsidRDefault="00D62200" w:rsidP="00D62200">
      <w:pPr>
        <w:ind w:right="424"/>
      </w:pPr>
    </w:p>
    <w:p w14:paraId="0594804C" w14:textId="77777777" w:rsidR="00D62200" w:rsidRPr="00CB5DB4" w:rsidRDefault="00D62200" w:rsidP="00090AB5">
      <w:pPr>
        <w:pStyle w:val="Default"/>
        <w:numPr>
          <w:ilvl w:val="0"/>
          <w:numId w:val="11"/>
        </w:numPr>
        <w:shd w:val="clear" w:color="auto" w:fill="C6D9F1"/>
        <w:spacing w:before="120"/>
        <w:ind w:right="424" w:hanging="1637"/>
        <w:jc w:val="both"/>
        <w:outlineLvl w:val="0"/>
        <w:rPr>
          <w:rFonts w:ascii="Calibri" w:hAnsi="Calibri" w:cs="Calibri"/>
          <w:b/>
          <w:bCs/>
        </w:rPr>
      </w:pPr>
      <w:bookmarkStart w:id="474" w:name="_Toc132511047"/>
      <w:r>
        <w:rPr>
          <w:rFonts w:ascii="Calibri" w:hAnsi="Calibri" w:cs="Calibri"/>
          <w:b/>
          <w:bCs/>
        </w:rPr>
        <w:lastRenderedPageBreak/>
        <w:t>Afeccións graves as paredes e muros de peche tradicionais.</w:t>
      </w:r>
      <w:bookmarkEnd w:id="474"/>
      <w:r>
        <w:rPr>
          <w:rFonts w:ascii="Calibri" w:hAnsi="Calibri" w:cs="Calibri"/>
          <w:b/>
          <w:bCs/>
        </w:rPr>
        <w:t xml:space="preserve"> </w:t>
      </w:r>
    </w:p>
    <w:p w14:paraId="2D0A906B" w14:textId="77777777" w:rsidR="00D62200" w:rsidRDefault="00D62200" w:rsidP="00D62200">
      <w:pPr>
        <w:autoSpaceDE w:val="0"/>
        <w:autoSpaceDN w:val="0"/>
        <w:adjustRightInd w:val="0"/>
        <w:spacing w:after="0" w:line="240" w:lineRule="auto"/>
        <w:rPr>
          <w:rFonts w:cs="Calibri"/>
          <w:b/>
          <w:sz w:val="24"/>
          <w:szCs w:val="24"/>
        </w:rPr>
      </w:pPr>
    </w:p>
    <w:p w14:paraId="0953242D" w14:textId="77777777" w:rsidR="00D62200" w:rsidRDefault="00D62200" w:rsidP="00D62200">
      <w:pPr>
        <w:autoSpaceDE w:val="0"/>
        <w:autoSpaceDN w:val="0"/>
        <w:adjustRightInd w:val="0"/>
        <w:spacing w:after="0" w:line="240" w:lineRule="auto"/>
        <w:ind w:right="424"/>
        <w:jc w:val="both"/>
        <w:rPr>
          <w:rFonts w:cs="Calibri"/>
          <w:sz w:val="24"/>
          <w:szCs w:val="24"/>
        </w:rPr>
      </w:pPr>
      <w:r w:rsidRPr="00325911">
        <w:rPr>
          <w:rFonts w:cs="Calibri"/>
          <w:sz w:val="24"/>
          <w:szCs w:val="24"/>
        </w:rPr>
        <w:t xml:space="preserve">Na Serra da Groba os muros de pedra que pechan áreas concretas do monte teñen varias orixes e funcionalidades. Uns foron feitos tradicionalmente para fechar zonas de pasto para determinadas zonas do ano, e outros para gardar os rebaños nun lugar coutado, segundo se pode ver na bibliografía dos moitos documentos  que existen referentes ao Mosteiro de Oia e as súas propiedades nesta serra. Outros foron feitos dende o ano 1909, cando se desenrolou na Serra da Groba o </w:t>
      </w:r>
      <w:r w:rsidRPr="00325911">
        <w:rPr>
          <w:rFonts w:cs="Calibri"/>
          <w:b/>
          <w:bCs/>
          <w:sz w:val="24"/>
          <w:szCs w:val="24"/>
        </w:rPr>
        <w:t>primeiro Plan Forestal do Estado</w:t>
      </w:r>
      <w:r w:rsidRPr="00325911">
        <w:rPr>
          <w:rFonts w:cs="Calibri"/>
          <w:sz w:val="24"/>
          <w:szCs w:val="24"/>
        </w:rPr>
        <w:t xml:space="preserve"> e se coutaron os montes para plantar piñeiros e protexelos do gando ceibo e salvaxe, nomeadamente rebaños de cabras e ovellas das aldeas próximas; vacas e burras do  monte ou </w:t>
      </w:r>
      <w:r w:rsidRPr="00325911">
        <w:rPr>
          <w:rFonts w:cs="Calibri"/>
          <w:b/>
          <w:bCs/>
          <w:sz w:val="24"/>
          <w:szCs w:val="24"/>
        </w:rPr>
        <w:t xml:space="preserve">garranos, </w:t>
      </w:r>
      <w:r w:rsidRPr="00325911">
        <w:rPr>
          <w:rFonts w:cs="Calibri"/>
          <w:b/>
          <w:bCs/>
          <w:i/>
          <w:sz w:val="24"/>
          <w:szCs w:val="24"/>
        </w:rPr>
        <w:t>equus ferus</w:t>
      </w:r>
      <w:r w:rsidRPr="00325911">
        <w:rPr>
          <w:rFonts w:cs="Calibri"/>
          <w:i/>
          <w:sz w:val="24"/>
          <w:szCs w:val="24"/>
        </w:rPr>
        <w:t xml:space="preserve"> </w:t>
      </w:r>
      <w:r w:rsidRPr="00325911">
        <w:rPr>
          <w:rFonts w:cs="Calibri"/>
          <w:b/>
          <w:bCs/>
          <w:i/>
          <w:sz w:val="24"/>
          <w:szCs w:val="24"/>
        </w:rPr>
        <w:t>atlanticus</w:t>
      </w:r>
      <w:r w:rsidRPr="00325911">
        <w:rPr>
          <w:rFonts w:cs="Calibri"/>
          <w:i/>
          <w:sz w:val="24"/>
          <w:szCs w:val="24"/>
        </w:rPr>
        <w:t xml:space="preserve">, </w:t>
      </w:r>
      <w:r w:rsidRPr="00325911">
        <w:rPr>
          <w:rFonts w:cs="Calibri"/>
          <w:sz w:val="24"/>
          <w:szCs w:val="24"/>
        </w:rPr>
        <w:t>que habitan esta serrra dende hai milleiros de anos. Estes muros son visible</w:t>
      </w:r>
      <w:r>
        <w:rPr>
          <w:rFonts w:cs="Calibri"/>
          <w:sz w:val="24"/>
          <w:szCs w:val="24"/>
        </w:rPr>
        <w:t>s</w:t>
      </w:r>
      <w:r w:rsidRPr="00325911">
        <w:rPr>
          <w:rFonts w:cs="Calibri"/>
          <w:sz w:val="24"/>
          <w:szCs w:val="24"/>
        </w:rPr>
        <w:t xml:space="preserve"> na paisaxe e constitúen un fito da paisaxe da Groba que pasaron a toponimia, patrimonio inmaterial, e dan nome </w:t>
      </w:r>
      <w:r>
        <w:rPr>
          <w:rFonts w:cs="Calibri"/>
          <w:sz w:val="24"/>
          <w:szCs w:val="24"/>
        </w:rPr>
        <w:t xml:space="preserve">a </w:t>
      </w:r>
      <w:r w:rsidRPr="00325911">
        <w:rPr>
          <w:rFonts w:cs="Calibri"/>
          <w:sz w:val="24"/>
          <w:szCs w:val="24"/>
        </w:rPr>
        <w:t>algúns puntos da Serra, como por exemplo Puxeiros, Tomada do Ferreiro, A Cerradiña, A Regueiriña do Valo, A Parede do Foxo, Os Cortelliños,  etc.</w:t>
      </w:r>
    </w:p>
    <w:p w14:paraId="559F9AE1" w14:textId="77777777" w:rsidR="00D62200" w:rsidRPr="00325911" w:rsidRDefault="00D62200" w:rsidP="00D62200">
      <w:pPr>
        <w:autoSpaceDE w:val="0"/>
        <w:autoSpaceDN w:val="0"/>
        <w:adjustRightInd w:val="0"/>
        <w:spacing w:after="0" w:line="240" w:lineRule="auto"/>
        <w:ind w:right="424"/>
        <w:jc w:val="both"/>
        <w:rPr>
          <w:rFonts w:cs="Calibri"/>
          <w:sz w:val="24"/>
          <w:szCs w:val="24"/>
        </w:rPr>
      </w:pPr>
    </w:p>
    <w:p w14:paraId="67057CFB" w14:textId="77777777" w:rsidR="00D62200" w:rsidRPr="00325911" w:rsidRDefault="00D62200" w:rsidP="00D62200">
      <w:pPr>
        <w:spacing w:after="160" w:line="259" w:lineRule="auto"/>
        <w:ind w:right="424"/>
        <w:jc w:val="both"/>
        <w:rPr>
          <w:rFonts w:cstheme="minorHAnsi"/>
          <w:sz w:val="24"/>
          <w:szCs w:val="24"/>
          <w:lang w:val="gl-ES"/>
        </w:rPr>
      </w:pPr>
      <w:r w:rsidRPr="00325911">
        <w:rPr>
          <w:rFonts w:cstheme="minorHAnsi"/>
          <w:sz w:val="24"/>
          <w:szCs w:val="24"/>
          <w:lang w:val="gl-ES"/>
        </w:rPr>
        <w:t xml:space="preserve">Na zona do PE e as infraestructuras proxectadas existen  muros de pedra singulares, que tatúan a paisaxe e lle dan personalidade.. Outros son liñas divisorias entre parroquias , aldeas, tomadas e coutadas e teñen quilómetros de lonxitude, como o  referido </w:t>
      </w:r>
      <w:r>
        <w:rPr>
          <w:rFonts w:cstheme="minorHAnsi"/>
          <w:sz w:val="24"/>
          <w:szCs w:val="24"/>
          <w:lang w:val="gl-ES"/>
        </w:rPr>
        <w:t>d</w:t>
      </w:r>
      <w:r w:rsidRPr="00325911">
        <w:rPr>
          <w:rFonts w:cstheme="minorHAnsi"/>
          <w:sz w:val="24"/>
          <w:szCs w:val="24"/>
          <w:lang w:val="gl-ES"/>
        </w:rPr>
        <w:t xml:space="preserve">o Monte Foral da Groba, se vería afectado directamente pola liña de evacuación. Vellos muros  que marcan tomadas antigas do monte que se poden ver dende calquera foto aérea e dende o google maps. Esta paisaxe e os muros tradicionais de pedra en seco  forman parte do Patrimonio Inmaterial protexidos pola UNESCO e pola Xunta de </w:t>
      </w:r>
      <w:commentRangeStart w:id="475"/>
      <w:r w:rsidRPr="00325911">
        <w:rPr>
          <w:rFonts w:cstheme="minorHAnsi"/>
          <w:sz w:val="24"/>
          <w:szCs w:val="24"/>
          <w:lang w:val="gl-ES"/>
        </w:rPr>
        <w:t>Galicia</w:t>
      </w:r>
      <w:commentRangeEnd w:id="475"/>
      <w:r w:rsidRPr="00325911">
        <w:rPr>
          <w:rFonts w:cstheme="minorHAnsi"/>
          <w:sz w:val="24"/>
          <w:szCs w:val="24"/>
          <w:lang w:val="gl-ES"/>
        </w:rPr>
        <w:commentReference w:id="475"/>
      </w:r>
      <w:r w:rsidRPr="00325911">
        <w:rPr>
          <w:rFonts w:cstheme="minorHAnsi"/>
          <w:sz w:val="24"/>
          <w:szCs w:val="24"/>
          <w:lang w:val="gl-ES"/>
        </w:rPr>
        <w:t xml:space="preserve"> </w:t>
      </w:r>
    </w:p>
    <w:p w14:paraId="5898A1D1" w14:textId="77777777" w:rsidR="00D62200" w:rsidRPr="00325911" w:rsidRDefault="00D62200" w:rsidP="00D62200">
      <w:pPr>
        <w:spacing w:after="160" w:line="259" w:lineRule="auto"/>
        <w:ind w:right="424"/>
        <w:jc w:val="both"/>
        <w:rPr>
          <w:rFonts w:cstheme="minorHAnsi"/>
          <w:i/>
          <w:iCs/>
          <w:color w:val="000000"/>
          <w:sz w:val="24"/>
          <w:szCs w:val="24"/>
          <w:shd w:val="clear" w:color="auto" w:fill="F7F7F7"/>
          <w:lang w:val="gl-ES"/>
        </w:rPr>
      </w:pPr>
      <w:r w:rsidRPr="00325911">
        <w:rPr>
          <w:rFonts w:cstheme="minorHAnsi"/>
          <w:i/>
          <w:iCs/>
          <w:color w:val="000000"/>
          <w:sz w:val="24"/>
          <w:szCs w:val="24"/>
          <w:shd w:val="clear" w:color="auto" w:fill="F7F7F7"/>
          <w:lang w:val="gl-ES"/>
        </w:rPr>
        <w:t>RESOLUCIÓN do 31 de agosto de 2016, da Dirección Xeral do Patrimonio Cultural, pola que se inclúe no Censo do patrimonio cultural a técnica tradicional da construción coa pedra en seco como manifestación do patrimonio cultural inmaterial.</w:t>
      </w:r>
    </w:p>
    <w:p w14:paraId="7284B9B2" w14:textId="77777777" w:rsidR="00D62200" w:rsidRPr="00325911" w:rsidRDefault="00D62200" w:rsidP="00D62200">
      <w:pPr>
        <w:spacing w:after="160" w:line="259" w:lineRule="auto"/>
        <w:ind w:right="424"/>
        <w:jc w:val="both"/>
        <w:rPr>
          <w:rFonts w:cstheme="minorHAnsi"/>
          <w:sz w:val="24"/>
          <w:szCs w:val="24"/>
          <w:lang w:val="gl-ES"/>
        </w:rPr>
      </w:pPr>
      <w:r w:rsidRPr="00325911">
        <w:rPr>
          <w:rFonts w:cstheme="minorHAnsi"/>
          <w:iCs/>
          <w:color w:val="000000"/>
          <w:sz w:val="24"/>
          <w:szCs w:val="24"/>
          <w:shd w:val="clear" w:color="auto" w:fill="F7F7F7"/>
          <w:lang w:val="gl-ES"/>
        </w:rPr>
        <w:t xml:space="preserve">Ligado a este patrimonio está o </w:t>
      </w:r>
      <w:hyperlink r:id="rId110" w:history="1">
        <w:r w:rsidRPr="003A5934">
          <w:rPr>
            <w:rStyle w:val="Hipervnculo"/>
            <w:rFonts w:cstheme="minorHAnsi"/>
            <w:iCs/>
            <w:sz w:val="24"/>
            <w:szCs w:val="24"/>
            <w:shd w:val="clear" w:color="auto" w:fill="F7F7F7"/>
            <w:lang w:val="gl-ES"/>
          </w:rPr>
          <w:t>patrimonio inmaterial das lendas, cantigas, refráns e nomeadamente a toponimia</w:t>
        </w:r>
      </w:hyperlink>
      <w:r>
        <w:rPr>
          <w:rStyle w:val="Refdenotaalpie"/>
          <w:rFonts w:cstheme="minorHAnsi"/>
          <w:iCs/>
          <w:color w:val="000000"/>
          <w:sz w:val="24"/>
          <w:szCs w:val="24"/>
          <w:shd w:val="clear" w:color="auto" w:fill="F7F7F7"/>
          <w:lang w:val="gl-ES"/>
        </w:rPr>
        <w:footnoteReference w:id="71"/>
      </w:r>
      <w:r w:rsidRPr="00325911">
        <w:rPr>
          <w:rFonts w:cstheme="minorHAnsi"/>
          <w:iCs/>
          <w:color w:val="000000"/>
          <w:sz w:val="24"/>
          <w:szCs w:val="24"/>
          <w:shd w:val="clear" w:color="auto" w:fill="F7F7F7"/>
          <w:lang w:val="gl-ES"/>
        </w:rPr>
        <w:t xml:space="preserve">. </w:t>
      </w:r>
    </w:p>
    <w:p w14:paraId="68D4DBA5" w14:textId="77777777" w:rsidR="00D62200" w:rsidRPr="00325911" w:rsidRDefault="00D62200" w:rsidP="00D62200">
      <w:pPr>
        <w:spacing w:after="160" w:line="259" w:lineRule="auto"/>
        <w:ind w:right="424"/>
        <w:jc w:val="both"/>
        <w:rPr>
          <w:rFonts w:cstheme="minorHAnsi"/>
          <w:sz w:val="24"/>
          <w:szCs w:val="24"/>
          <w:lang w:val="gl-ES"/>
        </w:rPr>
      </w:pPr>
      <w:r w:rsidRPr="00325911">
        <w:rPr>
          <w:rFonts w:cstheme="minorHAnsi"/>
          <w:sz w:val="24"/>
          <w:szCs w:val="24"/>
          <w:lang w:val="gl-ES"/>
        </w:rPr>
        <w:t>A construción do PE destruiría moitos destes muros e alteraría irreversiblemente a paisaxe na que están construídos e da que forman parte.</w:t>
      </w:r>
    </w:p>
    <w:p w14:paraId="48FB3E0E" w14:textId="77777777" w:rsidR="00D62200" w:rsidRDefault="00D62200" w:rsidP="00D62200">
      <w:pPr>
        <w:spacing w:after="160" w:line="259" w:lineRule="auto"/>
        <w:ind w:right="424"/>
        <w:jc w:val="center"/>
        <w:rPr>
          <w:rFonts w:cstheme="minorHAnsi"/>
          <w:sz w:val="24"/>
          <w:szCs w:val="24"/>
          <w:lang w:val="gl-ES"/>
        </w:rPr>
      </w:pPr>
      <w:r w:rsidRPr="007113CB">
        <w:rPr>
          <w:rFonts w:cstheme="minorHAnsi"/>
          <w:noProof/>
          <w:sz w:val="24"/>
          <w:szCs w:val="24"/>
          <w:lang w:eastAsia="es-ES"/>
        </w:rPr>
        <w:lastRenderedPageBreak/>
        <w:drawing>
          <wp:inline distT="0" distB="0" distL="0" distR="0" wp14:anchorId="6294CC17" wp14:editId="016673BD">
            <wp:extent cx="4533900" cy="3401350"/>
            <wp:effectExtent l="0" t="0" r="0" b="8890"/>
            <wp:docPr id="33" name="Imagen 33" descr="C:\Users\IEM\Desktop\Fotos Toroña\Fotos Toroña B\P149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EM\Desktop\Fotos Toroña\Fotos Toroña B\P1490090.JPG"/>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4545886" cy="3410342"/>
                    </a:xfrm>
                    <a:prstGeom prst="rect">
                      <a:avLst/>
                    </a:prstGeom>
                    <a:noFill/>
                    <a:ln>
                      <a:noFill/>
                    </a:ln>
                  </pic:spPr>
                </pic:pic>
              </a:graphicData>
            </a:graphic>
          </wp:inline>
        </w:drawing>
      </w:r>
      <w:r w:rsidRPr="007113CB">
        <w:rPr>
          <w:rFonts w:cstheme="minorHAnsi"/>
          <w:noProof/>
          <w:sz w:val="24"/>
          <w:szCs w:val="24"/>
          <w:lang w:eastAsia="es-ES"/>
        </w:rPr>
        <w:drawing>
          <wp:inline distT="0" distB="0" distL="0" distR="0" wp14:anchorId="5272C3EB" wp14:editId="17D2F94C">
            <wp:extent cx="4504455" cy="3379260"/>
            <wp:effectExtent l="0" t="0" r="0" b="0"/>
            <wp:docPr id="32" name="Imagen 32" descr="C:\Users\IEM\Desktop\Fotos Toroña\Fotos Toroña B\P149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EM\Desktop\Fotos Toroña\Fotos Toroña B\P1490093.JPG"/>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4510120" cy="3383510"/>
                    </a:xfrm>
                    <a:prstGeom prst="rect">
                      <a:avLst/>
                    </a:prstGeom>
                    <a:noFill/>
                    <a:ln>
                      <a:noFill/>
                    </a:ln>
                  </pic:spPr>
                </pic:pic>
              </a:graphicData>
            </a:graphic>
          </wp:inline>
        </w:drawing>
      </w:r>
    </w:p>
    <w:p w14:paraId="69887540" w14:textId="77777777" w:rsidR="00D62200" w:rsidRPr="00325911" w:rsidRDefault="00D62200" w:rsidP="00D62200">
      <w:pPr>
        <w:spacing w:after="160" w:line="259" w:lineRule="auto"/>
        <w:ind w:right="424"/>
        <w:jc w:val="center"/>
        <w:rPr>
          <w:rFonts w:cstheme="minorHAnsi"/>
          <w:sz w:val="24"/>
          <w:szCs w:val="24"/>
          <w:lang w:val="gl-ES"/>
        </w:rPr>
      </w:pPr>
      <w:r w:rsidRPr="00325911">
        <w:rPr>
          <w:rFonts w:cstheme="minorHAnsi"/>
          <w:sz w:val="20"/>
          <w:szCs w:val="20"/>
          <w:lang w:val="gl-ES"/>
        </w:rPr>
        <w:t>Muros  de peche de pedra seca na zona do P.E. Toroña.</w:t>
      </w:r>
    </w:p>
    <w:p w14:paraId="3307141C" w14:textId="77777777" w:rsidR="00D62200" w:rsidRPr="007113CB" w:rsidRDefault="00D62200" w:rsidP="00D62200">
      <w:pPr>
        <w:autoSpaceDE w:val="0"/>
        <w:autoSpaceDN w:val="0"/>
        <w:adjustRightInd w:val="0"/>
        <w:spacing w:after="0" w:line="240" w:lineRule="auto"/>
        <w:ind w:right="424"/>
        <w:rPr>
          <w:rFonts w:cs="Calibri"/>
          <w:sz w:val="24"/>
          <w:szCs w:val="24"/>
        </w:rPr>
      </w:pPr>
      <w:r w:rsidRPr="007113CB">
        <w:rPr>
          <w:noProof/>
          <w:lang w:eastAsia="es-ES"/>
        </w:rPr>
        <w:lastRenderedPageBreak/>
        <w:drawing>
          <wp:inline distT="0" distB="0" distL="0" distR="0" wp14:anchorId="13B29F45" wp14:editId="4694D88E">
            <wp:extent cx="5400040" cy="1974004"/>
            <wp:effectExtent l="0" t="0" r="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a:ext>
                      </a:extLst>
                    </a:blip>
                    <a:srcRect/>
                    <a:stretch/>
                  </pic:blipFill>
                  <pic:spPr bwMode="auto">
                    <a:xfrm>
                      <a:off x="0" y="0"/>
                      <a:ext cx="5400040" cy="1974004"/>
                    </a:xfrm>
                    <a:prstGeom prst="rect">
                      <a:avLst/>
                    </a:prstGeom>
                    <a:ln>
                      <a:noFill/>
                    </a:ln>
                    <a:extLst>
                      <a:ext uri="{53640926-AAD7-44D8-BBD7-CCE9431645EC}">
                        <a14:shadowObscured xmlns:a14="http://schemas.microsoft.com/office/drawing/2010/main"/>
                      </a:ext>
                    </a:extLst>
                  </pic:spPr>
                </pic:pic>
              </a:graphicData>
            </a:graphic>
          </wp:inline>
        </w:drawing>
      </w:r>
    </w:p>
    <w:p w14:paraId="319B3351" w14:textId="77777777" w:rsidR="00D62200" w:rsidRPr="007113CB" w:rsidRDefault="00D62200" w:rsidP="00D62200">
      <w:pPr>
        <w:autoSpaceDE w:val="0"/>
        <w:autoSpaceDN w:val="0"/>
        <w:adjustRightInd w:val="0"/>
        <w:spacing w:after="0" w:line="240" w:lineRule="auto"/>
        <w:ind w:right="424"/>
        <w:rPr>
          <w:rFonts w:cs="Calibri"/>
          <w:sz w:val="24"/>
          <w:szCs w:val="24"/>
        </w:rPr>
      </w:pPr>
    </w:p>
    <w:p w14:paraId="2A0C664C" w14:textId="77777777" w:rsidR="00D62200" w:rsidRDefault="00D62200" w:rsidP="00D62200">
      <w:pPr>
        <w:autoSpaceDE w:val="0"/>
        <w:autoSpaceDN w:val="0"/>
        <w:adjustRightInd w:val="0"/>
        <w:spacing w:after="0" w:line="240" w:lineRule="auto"/>
        <w:ind w:right="424"/>
        <w:jc w:val="both"/>
        <w:rPr>
          <w:rFonts w:cstheme="minorHAnsi"/>
          <w:b/>
          <w:sz w:val="24"/>
          <w:szCs w:val="24"/>
        </w:rPr>
      </w:pPr>
    </w:p>
    <w:p w14:paraId="38BD2A1B" w14:textId="77777777" w:rsidR="00D62200" w:rsidRDefault="00D62200" w:rsidP="00D62200">
      <w:pPr>
        <w:autoSpaceDE w:val="0"/>
        <w:autoSpaceDN w:val="0"/>
        <w:adjustRightInd w:val="0"/>
        <w:spacing w:after="0" w:line="240" w:lineRule="auto"/>
        <w:ind w:right="424"/>
        <w:jc w:val="both"/>
        <w:rPr>
          <w:rFonts w:cstheme="minorHAnsi"/>
          <w:b/>
          <w:sz w:val="24"/>
          <w:szCs w:val="24"/>
        </w:rPr>
      </w:pPr>
      <w:r w:rsidRPr="007113CB">
        <w:rPr>
          <w:noProof/>
          <w:lang w:eastAsia="es-ES"/>
        </w:rPr>
        <w:drawing>
          <wp:inline distT="0" distB="0" distL="0" distR="0" wp14:anchorId="5744AC28" wp14:editId="008D5BF1">
            <wp:extent cx="5362575" cy="2140774"/>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cstate="print">
                      <a:extLst>
                        <a:ext uri="{28A0092B-C50C-407E-A947-70E740481C1C}">
                          <a14:useLocalDpi xmlns:a14="http://schemas.microsoft.com/office/drawing/2010/main"/>
                        </a:ext>
                      </a:extLst>
                    </a:blip>
                    <a:srcRect/>
                    <a:stretch/>
                  </pic:blipFill>
                  <pic:spPr bwMode="auto">
                    <a:xfrm>
                      <a:off x="0" y="0"/>
                      <a:ext cx="5373661" cy="2145199"/>
                    </a:xfrm>
                    <a:prstGeom prst="rect">
                      <a:avLst/>
                    </a:prstGeom>
                    <a:ln>
                      <a:noFill/>
                    </a:ln>
                    <a:extLst>
                      <a:ext uri="{53640926-AAD7-44D8-BBD7-CCE9431645EC}">
                        <a14:shadowObscured xmlns:a14="http://schemas.microsoft.com/office/drawing/2010/main"/>
                      </a:ext>
                    </a:extLst>
                  </pic:spPr>
                </pic:pic>
              </a:graphicData>
            </a:graphic>
          </wp:inline>
        </w:drawing>
      </w:r>
    </w:p>
    <w:p w14:paraId="4C052600" w14:textId="77777777" w:rsidR="00D62200" w:rsidRDefault="00D62200" w:rsidP="00D62200">
      <w:pPr>
        <w:autoSpaceDE w:val="0"/>
        <w:autoSpaceDN w:val="0"/>
        <w:adjustRightInd w:val="0"/>
        <w:spacing w:after="0" w:line="240" w:lineRule="auto"/>
        <w:ind w:right="424"/>
        <w:jc w:val="both"/>
        <w:rPr>
          <w:rFonts w:cstheme="minorHAnsi"/>
          <w:b/>
          <w:sz w:val="24"/>
          <w:szCs w:val="24"/>
        </w:rPr>
      </w:pPr>
    </w:p>
    <w:sdt>
      <w:sdtPr>
        <w:rPr>
          <w:rFonts w:asciiTheme="minorHAnsi" w:eastAsiaTheme="minorHAnsi" w:hAnsiTheme="minorHAnsi" w:cstheme="minorBidi"/>
          <w:b/>
          <w:bCs/>
        </w:rPr>
        <w:id w:val="-500737754"/>
        <w:docPartObj>
          <w:docPartGallery w:val="Bibliographies"/>
          <w:docPartUnique/>
        </w:docPartObj>
      </w:sdtPr>
      <w:sdtEndPr>
        <w:rPr>
          <w:rFonts w:ascii="Calibri" w:eastAsia="Calibri" w:hAnsi="Calibri" w:cs="Times New Roman"/>
          <w:b w:val="0"/>
          <w:bCs w:val="0"/>
        </w:rPr>
      </w:sdtEndPr>
      <w:sdtContent>
        <w:p w14:paraId="7C8F9FD1" w14:textId="77777777" w:rsidR="00D62200" w:rsidRDefault="00D62200" w:rsidP="008837F2">
          <w:r>
            <w:t>Bibliografía:</w:t>
          </w:r>
        </w:p>
        <w:sdt>
          <w:sdtPr>
            <w:id w:val="111145805"/>
            <w:bibliography/>
          </w:sdtPr>
          <w:sdtEndPr/>
          <w:sdtContent>
            <w:p w14:paraId="2CF3229E" w14:textId="77777777" w:rsidR="00D62200" w:rsidRPr="009E59AA" w:rsidRDefault="00D62200" w:rsidP="00D62200">
              <w:pPr>
                <w:spacing w:after="160" w:line="259" w:lineRule="auto"/>
                <w:ind w:left="708"/>
                <w:rPr>
                  <w:rFonts w:cstheme="minorHAnsi"/>
                  <w:sz w:val="20"/>
                  <w:szCs w:val="20"/>
                  <w:lang w:val="gl-ES"/>
                </w:rPr>
              </w:pPr>
              <w:r w:rsidRPr="009E59AA">
                <w:rPr>
                  <w:rFonts w:cstheme="minorHAnsi"/>
                  <w:sz w:val="20"/>
                  <w:szCs w:val="20"/>
                  <w:lang w:val="gl-ES"/>
                </w:rPr>
                <w:t>BARROS ALFARO, L. Repoboación forestal na Serra da Groba e conflitividade campesiña. REM nº 12/13 . Vigo 2014.</w:t>
              </w:r>
            </w:p>
            <w:p w14:paraId="0683CD76" w14:textId="77777777" w:rsidR="00D62200" w:rsidRPr="009E59AA" w:rsidRDefault="00D62200" w:rsidP="00D62200">
              <w:pPr>
                <w:spacing w:after="160" w:line="259" w:lineRule="auto"/>
                <w:ind w:left="708"/>
                <w:rPr>
                  <w:rFonts w:cstheme="minorHAnsi"/>
                  <w:sz w:val="20"/>
                  <w:szCs w:val="20"/>
                  <w:lang w:val="gl-ES"/>
                </w:rPr>
              </w:pPr>
              <w:r w:rsidRPr="009E59AA">
                <w:rPr>
                  <w:rFonts w:cstheme="minorHAnsi"/>
                  <w:sz w:val="20"/>
                  <w:szCs w:val="20"/>
                  <w:lang w:val="gl-ES"/>
                </w:rPr>
                <w:t>BARROS ALFARO, L.. Conflitividade campesiña ao redor da propiedade e dos usos do monte no Baixo Miño (1910- 1970). Memoria do Programa Oficial de Posgrao en Historia Contemporánea .Dirixido por Rico Boquete. E.  USC.</w:t>
              </w:r>
            </w:p>
            <w:p w14:paraId="096DD4FA" w14:textId="77777777" w:rsidR="00D62200" w:rsidRDefault="00D62200" w:rsidP="00D62200">
              <w:pPr>
                <w:ind w:left="708"/>
              </w:pPr>
              <w:r w:rsidRPr="009E59AA">
                <w:rPr>
                  <w:sz w:val="20"/>
                  <w:szCs w:val="20"/>
                </w:rPr>
                <w:t xml:space="preserve">Eduardo Rico Boquete. </w:t>
              </w:r>
              <w:hyperlink r:id="rId115" w:history="1">
                <w:r w:rsidRPr="009E59AA">
                  <w:rPr>
                    <w:rStyle w:val="Hipervnculo"/>
                    <w:sz w:val="20"/>
                    <w:szCs w:val="20"/>
                  </w:rPr>
                  <w:t>LA REPOBLACIÓN FORESTAL PÚBLICA EN GALICIA DURANTE EL SIGLO XX</w:t>
                </w:r>
              </w:hyperlink>
              <w:r w:rsidRPr="009E59AA">
                <w:rPr>
                  <w:sz w:val="20"/>
                  <w:szCs w:val="20"/>
                </w:rPr>
                <w:t xml:space="preserve"> Universidade de Santiago de Compostela</w:t>
              </w:r>
            </w:p>
          </w:sdtContent>
        </w:sdt>
      </w:sdtContent>
    </w:sdt>
    <w:p w14:paraId="55903BA2" w14:textId="77777777" w:rsidR="00D62200" w:rsidRDefault="00D62200" w:rsidP="00D62200">
      <w:pPr>
        <w:autoSpaceDE w:val="0"/>
        <w:autoSpaceDN w:val="0"/>
        <w:adjustRightInd w:val="0"/>
        <w:spacing w:after="0" w:line="240" w:lineRule="auto"/>
        <w:ind w:right="424"/>
        <w:jc w:val="both"/>
        <w:rPr>
          <w:rFonts w:cstheme="minorHAnsi"/>
          <w:b/>
          <w:sz w:val="24"/>
          <w:szCs w:val="24"/>
        </w:rPr>
      </w:pPr>
    </w:p>
    <w:p w14:paraId="194C9444" w14:textId="77777777" w:rsidR="00D62200" w:rsidRPr="00CB5DB4" w:rsidRDefault="00D62200" w:rsidP="008837F2">
      <w:pPr>
        <w:pStyle w:val="Default"/>
        <w:numPr>
          <w:ilvl w:val="0"/>
          <w:numId w:val="11"/>
        </w:numPr>
        <w:shd w:val="clear" w:color="auto" w:fill="C6D9F1"/>
        <w:spacing w:before="120"/>
        <w:ind w:right="424" w:hanging="1637"/>
        <w:jc w:val="both"/>
        <w:outlineLvl w:val="0"/>
        <w:rPr>
          <w:rFonts w:ascii="Calibri" w:hAnsi="Calibri" w:cs="Calibri"/>
          <w:b/>
          <w:bCs/>
        </w:rPr>
      </w:pPr>
      <w:bookmarkStart w:id="476" w:name="_Toc132511048"/>
      <w:r>
        <w:rPr>
          <w:rFonts w:ascii="Calibri" w:hAnsi="Calibri" w:cs="Calibri"/>
          <w:b/>
          <w:bCs/>
        </w:rPr>
        <w:t>Afección grave a marcos históricos e pedras senlleiras.</w:t>
      </w:r>
      <w:bookmarkEnd w:id="476"/>
      <w:r>
        <w:rPr>
          <w:rFonts w:ascii="Calibri" w:hAnsi="Calibri" w:cs="Calibri"/>
          <w:b/>
          <w:bCs/>
        </w:rPr>
        <w:t xml:space="preserve"> </w:t>
      </w:r>
    </w:p>
    <w:p w14:paraId="29E0A316" w14:textId="77777777" w:rsidR="00D62200" w:rsidRDefault="00D62200" w:rsidP="00D62200">
      <w:pPr>
        <w:autoSpaceDE w:val="0"/>
        <w:autoSpaceDN w:val="0"/>
        <w:adjustRightInd w:val="0"/>
        <w:spacing w:after="0" w:line="240" w:lineRule="auto"/>
        <w:ind w:right="424"/>
        <w:jc w:val="both"/>
        <w:rPr>
          <w:rFonts w:cstheme="minorHAnsi"/>
          <w:b/>
          <w:sz w:val="24"/>
          <w:szCs w:val="24"/>
        </w:rPr>
      </w:pPr>
    </w:p>
    <w:p w14:paraId="29DD472E" w14:textId="77777777" w:rsidR="00D62200" w:rsidRPr="007113CB" w:rsidRDefault="00D62200" w:rsidP="00D62200">
      <w:pPr>
        <w:spacing w:after="160" w:line="259" w:lineRule="auto"/>
        <w:ind w:right="424"/>
        <w:jc w:val="both"/>
        <w:rPr>
          <w:rFonts w:cstheme="minorHAnsi"/>
          <w:sz w:val="24"/>
          <w:szCs w:val="24"/>
          <w:lang w:val="gl-ES"/>
        </w:rPr>
      </w:pPr>
      <w:r w:rsidRPr="007113CB">
        <w:rPr>
          <w:rFonts w:cstheme="minorHAnsi"/>
          <w:sz w:val="24"/>
          <w:szCs w:val="24"/>
          <w:lang w:val="gl-ES"/>
        </w:rPr>
        <w:t xml:space="preserve">Pedras senlleiras e/ou marcos históricos que fan de límite entre concellos, parroquias, ou comunidades de montes. Algún  deles nomeados en documentación  do seculo XV e na do XVIII no chamado </w:t>
      </w:r>
      <w:hyperlink r:id="rId116" w:history="1">
        <w:r w:rsidRPr="00116640">
          <w:rPr>
            <w:rStyle w:val="Hipervnculo"/>
            <w:rFonts w:cstheme="minorHAnsi"/>
            <w:sz w:val="24"/>
            <w:szCs w:val="24"/>
            <w:lang w:val="gl-ES"/>
          </w:rPr>
          <w:t>catastro de Ensenada</w:t>
        </w:r>
      </w:hyperlink>
      <w:r>
        <w:rPr>
          <w:rStyle w:val="Refdenotaalpie"/>
          <w:rFonts w:cstheme="minorHAnsi"/>
          <w:sz w:val="24"/>
          <w:szCs w:val="24"/>
          <w:lang w:val="gl-ES"/>
        </w:rPr>
        <w:footnoteReference w:id="72"/>
      </w:r>
      <w:r w:rsidRPr="007113CB">
        <w:rPr>
          <w:rFonts w:cstheme="minorHAnsi"/>
          <w:sz w:val="24"/>
          <w:szCs w:val="24"/>
          <w:lang w:val="gl-ES"/>
        </w:rPr>
        <w:t xml:space="preserve">, como por exemplo a </w:t>
      </w:r>
      <w:r w:rsidRPr="007113CB">
        <w:rPr>
          <w:rFonts w:cstheme="minorHAnsi"/>
          <w:b/>
          <w:bCs/>
          <w:sz w:val="24"/>
          <w:szCs w:val="24"/>
          <w:lang w:val="gl-ES"/>
        </w:rPr>
        <w:t>Pedra da Gata</w:t>
      </w:r>
      <w:r w:rsidRPr="007113CB">
        <w:rPr>
          <w:rFonts w:cstheme="minorHAnsi"/>
          <w:sz w:val="24"/>
          <w:szCs w:val="24"/>
          <w:lang w:val="gl-ES"/>
        </w:rPr>
        <w:t xml:space="preserve">, ou </w:t>
      </w:r>
      <w:r w:rsidRPr="007113CB">
        <w:rPr>
          <w:rFonts w:cstheme="minorHAnsi"/>
          <w:b/>
          <w:bCs/>
          <w:sz w:val="24"/>
          <w:szCs w:val="24"/>
          <w:lang w:val="gl-ES"/>
        </w:rPr>
        <w:t>da Cruz da Calzada</w:t>
      </w:r>
      <w:r w:rsidRPr="007113CB">
        <w:rPr>
          <w:rFonts w:cstheme="minorHAnsi"/>
          <w:sz w:val="24"/>
          <w:szCs w:val="24"/>
          <w:lang w:val="gl-ES"/>
        </w:rPr>
        <w:t xml:space="preserve"> que delimitaba os concellos de Gondomar, Tomiño, Oia e Baiona, e que se sitúa  a escasos dous metros da gabia proxectada na liña de evacuación ó seu paso pola Cruz da Calzada (camiño como seu nome indica de orixe antiga) . </w:t>
      </w:r>
    </w:p>
    <w:p w14:paraId="29006E6D" w14:textId="77777777" w:rsidR="00D62200" w:rsidRPr="007113CB" w:rsidRDefault="00D62200" w:rsidP="00D62200">
      <w:pPr>
        <w:spacing w:after="160" w:line="259" w:lineRule="auto"/>
        <w:ind w:right="424"/>
        <w:jc w:val="center"/>
        <w:rPr>
          <w:rFonts w:cstheme="minorHAnsi"/>
          <w:sz w:val="24"/>
          <w:szCs w:val="24"/>
          <w:lang w:val="gl-ES"/>
        </w:rPr>
      </w:pPr>
      <w:r w:rsidRPr="007113CB">
        <w:rPr>
          <w:rFonts w:cstheme="minorHAnsi"/>
          <w:noProof/>
          <w:sz w:val="24"/>
          <w:szCs w:val="24"/>
          <w:lang w:eastAsia="es-ES"/>
        </w:rPr>
        <w:lastRenderedPageBreak/>
        <w:drawing>
          <wp:inline distT="0" distB="0" distL="0" distR="0" wp14:anchorId="4A0CE51F" wp14:editId="6BBEB56B">
            <wp:extent cx="4695825" cy="3522827"/>
            <wp:effectExtent l="0" t="0" r="0" b="1905"/>
            <wp:docPr id="30" name="Imagen 30" descr="C:\Users\IEM\Desktop\Fotos Toroña\P148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EM\Desktop\Fotos Toroña\P1480140.JPG"/>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4705256" cy="3529902"/>
                    </a:xfrm>
                    <a:prstGeom prst="rect">
                      <a:avLst/>
                    </a:prstGeom>
                    <a:noFill/>
                    <a:ln>
                      <a:noFill/>
                    </a:ln>
                  </pic:spPr>
                </pic:pic>
              </a:graphicData>
            </a:graphic>
          </wp:inline>
        </w:drawing>
      </w:r>
      <w:r w:rsidRPr="007113CB">
        <w:rPr>
          <w:rFonts w:cstheme="minorHAnsi"/>
          <w:noProof/>
          <w:sz w:val="24"/>
          <w:szCs w:val="24"/>
          <w:lang w:eastAsia="es-ES"/>
        </w:rPr>
        <w:drawing>
          <wp:inline distT="0" distB="0" distL="0" distR="0" wp14:anchorId="0E42C967" wp14:editId="33352DBD">
            <wp:extent cx="4684180" cy="3514090"/>
            <wp:effectExtent l="0" t="0" r="2540" b="0"/>
            <wp:docPr id="31" name="Imagen 31" descr="C:\Users\IEM\Desktop\Fotos Toroña\P148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EM\Desktop\Fotos Toroña\P1480067.JPG"/>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4691709" cy="3519738"/>
                    </a:xfrm>
                    <a:prstGeom prst="rect">
                      <a:avLst/>
                    </a:prstGeom>
                    <a:noFill/>
                    <a:ln>
                      <a:noFill/>
                    </a:ln>
                  </pic:spPr>
                </pic:pic>
              </a:graphicData>
            </a:graphic>
          </wp:inline>
        </w:drawing>
      </w:r>
    </w:p>
    <w:p w14:paraId="109926B7" w14:textId="77777777" w:rsidR="00D62200" w:rsidRPr="007113CB" w:rsidRDefault="00D62200" w:rsidP="00D62200">
      <w:pPr>
        <w:spacing w:after="160" w:line="259" w:lineRule="auto"/>
        <w:ind w:right="424"/>
        <w:jc w:val="center"/>
        <w:rPr>
          <w:rFonts w:cstheme="minorHAnsi"/>
          <w:sz w:val="24"/>
          <w:szCs w:val="24"/>
          <w:lang w:val="gl-ES"/>
        </w:rPr>
      </w:pPr>
      <w:r w:rsidRPr="007113CB">
        <w:rPr>
          <w:rFonts w:cstheme="minorHAnsi"/>
          <w:noProof/>
          <w:sz w:val="24"/>
          <w:szCs w:val="24"/>
          <w:lang w:eastAsia="es-ES"/>
        </w:rPr>
        <w:lastRenderedPageBreak/>
        <w:drawing>
          <wp:inline distT="0" distB="0" distL="0" distR="0" wp14:anchorId="1A2883C7" wp14:editId="1F543426">
            <wp:extent cx="4457700" cy="2705100"/>
            <wp:effectExtent l="0" t="0" r="0" b="0"/>
            <wp:docPr id="34" name="Imagen 34" descr="C:\Users\IEM\Desktop\Fotos Toroña\snapshot0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EM\Desktop\Fotos Toroña\snapshot00 (2).png"/>
                    <pic:cNvPicPr>
                      <a:picLocks noChangeAspect="1" noChangeArrowheads="1"/>
                    </pic:cNvPicPr>
                  </pic:nvPicPr>
                  <pic:blipFill rotWithShape="1">
                    <a:blip r:embed="rId119" cstate="print">
                      <a:extLst>
                        <a:ext uri="{28A0092B-C50C-407E-A947-70E740481C1C}">
                          <a14:useLocalDpi xmlns:a14="http://schemas.microsoft.com/office/drawing/2010/main"/>
                        </a:ext>
                      </a:extLst>
                    </a:blip>
                    <a:srcRect/>
                    <a:stretch/>
                  </pic:blipFill>
                  <pic:spPr bwMode="auto">
                    <a:xfrm>
                      <a:off x="0" y="0"/>
                      <a:ext cx="4461442" cy="2707371"/>
                    </a:xfrm>
                    <a:prstGeom prst="rect">
                      <a:avLst/>
                    </a:prstGeom>
                    <a:noFill/>
                    <a:ln>
                      <a:noFill/>
                    </a:ln>
                    <a:extLst>
                      <a:ext uri="{53640926-AAD7-44D8-BBD7-CCE9431645EC}">
                        <a14:shadowObscured xmlns:a14="http://schemas.microsoft.com/office/drawing/2010/main"/>
                      </a:ext>
                    </a:extLst>
                  </pic:spPr>
                </pic:pic>
              </a:graphicData>
            </a:graphic>
          </wp:inline>
        </w:drawing>
      </w:r>
    </w:p>
    <w:p w14:paraId="5E6EE929" w14:textId="77777777" w:rsidR="00D62200" w:rsidRPr="007113CB" w:rsidRDefault="00D62200" w:rsidP="00D62200">
      <w:pPr>
        <w:spacing w:after="160" w:line="259" w:lineRule="auto"/>
        <w:ind w:right="424"/>
        <w:rPr>
          <w:rFonts w:cstheme="minorHAnsi"/>
          <w:sz w:val="24"/>
          <w:szCs w:val="24"/>
          <w:lang w:val="gl-ES"/>
        </w:rPr>
      </w:pPr>
    </w:p>
    <w:p w14:paraId="5FF3A9F3" w14:textId="77777777" w:rsidR="00D62200" w:rsidRPr="007113CB" w:rsidRDefault="00D62200" w:rsidP="00D62200">
      <w:pPr>
        <w:spacing w:after="160" w:line="259" w:lineRule="auto"/>
        <w:ind w:right="424"/>
        <w:rPr>
          <w:rFonts w:cstheme="minorHAnsi"/>
          <w:sz w:val="24"/>
          <w:szCs w:val="24"/>
          <w:lang w:val="gl-ES"/>
        </w:rPr>
      </w:pPr>
    </w:p>
    <w:p w14:paraId="221A3C69" w14:textId="77777777" w:rsidR="00D62200" w:rsidRPr="007113CB" w:rsidRDefault="00D62200" w:rsidP="00D62200">
      <w:pPr>
        <w:spacing w:after="160" w:line="259" w:lineRule="auto"/>
        <w:ind w:right="424"/>
        <w:jc w:val="center"/>
        <w:rPr>
          <w:rFonts w:cstheme="minorHAnsi"/>
          <w:color w:val="1A73E8"/>
          <w:sz w:val="24"/>
          <w:szCs w:val="24"/>
          <w:u w:val="single"/>
          <w:shd w:val="clear" w:color="auto" w:fill="FFFFFF"/>
          <w:lang w:val="gl-ES"/>
        </w:rPr>
      </w:pPr>
      <w:r w:rsidRPr="007113CB">
        <w:rPr>
          <w:noProof/>
          <w:lang w:eastAsia="es-ES"/>
        </w:rPr>
        <w:drawing>
          <wp:inline distT="0" distB="0" distL="0" distR="0" wp14:anchorId="7C615AE3" wp14:editId="3DE8A270">
            <wp:extent cx="5353050" cy="22479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a:ext>
                      </a:extLst>
                    </a:blip>
                    <a:srcRect/>
                    <a:stretch/>
                  </pic:blipFill>
                  <pic:spPr bwMode="auto">
                    <a:xfrm>
                      <a:off x="0" y="0"/>
                      <a:ext cx="5392845" cy="2264611"/>
                    </a:xfrm>
                    <a:prstGeom prst="rect">
                      <a:avLst/>
                    </a:prstGeom>
                    <a:ln>
                      <a:noFill/>
                    </a:ln>
                    <a:extLst>
                      <a:ext uri="{53640926-AAD7-44D8-BBD7-CCE9431645EC}">
                        <a14:shadowObscured xmlns:a14="http://schemas.microsoft.com/office/drawing/2010/main"/>
                      </a:ext>
                    </a:extLst>
                  </pic:spPr>
                </pic:pic>
              </a:graphicData>
            </a:graphic>
          </wp:inline>
        </w:drawing>
      </w:r>
    </w:p>
    <w:p w14:paraId="638C4F1A" w14:textId="77777777" w:rsidR="00D62200" w:rsidRPr="007113CB" w:rsidRDefault="00D62200" w:rsidP="00D62200">
      <w:pPr>
        <w:spacing w:after="160" w:line="259" w:lineRule="auto"/>
        <w:ind w:right="424"/>
        <w:rPr>
          <w:rFonts w:cstheme="minorHAnsi"/>
          <w:color w:val="1A73E8"/>
          <w:sz w:val="24"/>
          <w:szCs w:val="24"/>
          <w:u w:val="single"/>
          <w:shd w:val="clear" w:color="auto" w:fill="FFFFFF"/>
          <w:lang w:val="gl-ES"/>
        </w:rPr>
      </w:pPr>
    </w:p>
    <w:p w14:paraId="18C372D0" w14:textId="77777777" w:rsidR="00D62200" w:rsidRPr="007113CB" w:rsidRDefault="00D62200" w:rsidP="00D62200">
      <w:pPr>
        <w:spacing w:after="160" w:line="259" w:lineRule="auto"/>
        <w:ind w:right="424"/>
        <w:rPr>
          <w:rFonts w:cstheme="minorHAnsi"/>
          <w:sz w:val="24"/>
          <w:szCs w:val="24"/>
          <w:lang w:val="gl-ES"/>
        </w:rPr>
      </w:pPr>
    </w:p>
    <w:p w14:paraId="1D184B4A" w14:textId="77777777" w:rsidR="00D62200" w:rsidRPr="007113CB" w:rsidRDefault="00D62200" w:rsidP="00D62200">
      <w:pPr>
        <w:spacing w:after="160" w:line="259" w:lineRule="auto"/>
        <w:ind w:right="424"/>
        <w:jc w:val="both"/>
        <w:rPr>
          <w:rFonts w:cstheme="minorHAnsi"/>
          <w:sz w:val="24"/>
          <w:szCs w:val="24"/>
          <w:lang w:val="gl-ES"/>
        </w:rPr>
      </w:pPr>
      <w:r w:rsidRPr="007113CB">
        <w:rPr>
          <w:rFonts w:cstheme="minorHAnsi"/>
          <w:sz w:val="24"/>
          <w:szCs w:val="24"/>
          <w:lang w:val="gl-ES"/>
        </w:rPr>
        <w:t>No tocante a pedras senlleiras e fitos da paisaxe,</w:t>
      </w:r>
      <w:r>
        <w:rPr>
          <w:rFonts w:cstheme="minorHAnsi"/>
          <w:sz w:val="24"/>
          <w:szCs w:val="24"/>
          <w:lang w:val="gl-ES"/>
        </w:rPr>
        <w:t xml:space="preserve"> na parte leste do P E. , as zanxas de evacuación </w:t>
      </w:r>
      <w:r w:rsidRPr="007113CB">
        <w:rPr>
          <w:rFonts w:cstheme="minorHAnsi"/>
          <w:sz w:val="24"/>
          <w:szCs w:val="24"/>
          <w:lang w:val="gl-ES"/>
        </w:rPr>
        <w:t>comunicarí</w:t>
      </w:r>
      <w:r>
        <w:rPr>
          <w:rFonts w:cstheme="minorHAnsi"/>
          <w:sz w:val="24"/>
          <w:szCs w:val="24"/>
          <w:lang w:val="gl-ES"/>
        </w:rPr>
        <w:t xml:space="preserve">anse por pistas, pegadas </w:t>
      </w:r>
      <w:r w:rsidRPr="007113CB">
        <w:rPr>
          <w:rFonts w:cstheme="minorHAnsi"/>
          <w:sz w:val="24"/>
          <w:szCs w:val="24"/>
          <w:lang w:val="gl-ES"/>
        </w:rPr>
        <w:t xml:space="preserve"> </w:t>
      </w:r>
      <w:r w:rsidRPr="007113CB">
        <w:rPr>
          <w:rFonts w:cstheme="minorHAnsi"/>
          <w:b/>
          <w:sz w:val="24"/>
          <w:szCs w:val="24"/>
          <w:lang w:val="gl-ES"/>
        </w:rPr>
        <w:t>O Marco das Guteiriñas</w:t>
      </w:r>
      <w:r w:rsidRPr="007113CB">
        <w:rPr>
          <w:rFonts w:cstheme="minorHAnsi"/>
          <w:sz w:val="24"/>
          <w:szCs w:val="24"/>
          <w:lang w:val="gl-ES"/>
        </w:rPr>
        <w:t xml:space="preserve"> entre Pinzás e Vilachán.</w:t>
      </w:r>
    </w:p>
    <w:p w14:paraId="480D126D" w14:textId="77777777" w:rsidR="00D62200" w:rsidRPr="007113CB" w:rsidRDefault="00D62200" w:rsidP="00D62200">
      <w:pPr>
        <w:spacing w:after="160" w:line="259" w:lineRule="auto"/>
        <w:ind w:right="424"/>
        <w:jc w:val="center"/>
        <w:rPr>
          <w:rFonts w:cstheme="minorHAnsi"/>
          <w:sz w:val="24"/>
          <w:szCs w:val="24"/>
          <w:lang w:val="gl-ES"/>
        </w:rPr>
      </w:pPr>
      <w:r w:rsidRPr="007113CB">
        <w:rPr>
          <w:rFonts w:cstheme="minorHAnsi"/>
          <w:noProof/>
          <w:sz w:val="24"/>
          <w:szCs w:val="24"/>
          <w:lang w:eastAsia="es-ES"/>
        </w:rPr>
        <w:lastRenderedPageBreak/>
        <w:drawing>
          <wp:inline distT="0" distB="0" distL="0" distR="0" wp14:anchorId="20AC72CA" wp14:editId="12BC6988">
            <wp:extent cx="5400040" cy="4051132"/>
            <wp:effectExtent l="0" t="0" r="0" b="6985"/>
            <wp:docPr id="38" name="Imagen 38" descr="C:\Users\IEM\Desktop\Fotos Toroña\P207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EM\Desktop\Fotos Toroña\P2070529.JPG"/>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5400040" cy="4051132"/>
                    </a:xfrm>
                    <a:prstGeom prst="rect">
                      <a:avLst/>
                    </a:prstGeom>
                    <a:noFill/>
                    <a:ln>
                      <a:noFill/>
                    </a:ln>
                  </pic:spPr>
                </pic:pic>
              </a:graphicData>
            </a:graphic>
          </wp:inline>
        </w:drawing>
      </w:r>
    </w:p>
    <w:p w14:paraId="3888B072" w14:textId="77777777" w:rsidR="00D62200" w:rsidRPr="007113CB" w:rsidRDefault="00D62200" w:rsidP="00D62200">
      <w:pPr>
        <w:spacing w:after="160" w:line="259" w:lineRule="auto"/>
        <w:ind w:right="424"/>
        <w:rPr>
          <w:rFonts w:cstheme="minorHAnsi"/>
          <w:sz w:val="24"/>
          <w:szCs w:val="24"/>
          <w:lang w:val="gl-ES"/>
        </w:rPr>
      </w:pPr>
    </w:p>
    <w:p w14:paraId="6EE5DEE0" w14:textId="77777777" w:rsidR="00D62200" w:rsidRPr="007113CB" w:rsidRDefault="00D62200" w:rsidP="00D62200">
      <w:pPr>
        <w:spacing w:after="160" w:line="259" w:lineRule="auto"/>
        <w:ind w:right="424"/>
        <w:rPr>
          <w:rFonts w:cstheme="minorHAnsi"/>
          <w:sz w:val="24"/>
          <w:szCs w:val="24"/>
          <w:lang w:val="gl-ES"/>
        </w:rPr>
      </w:pPr>
      <w:r w:rsidRPr="007113CB">
        <w:rPr>
          <w:noProof/>
          <w:lang w:eastAsia="es-ES"/>
        </w:rPr>
        <w:drawing>
          <wp:inline distT="0" distB="0" distL="0" distR="0" wp14:anchorId="61293815" wp14:editId="055967E2">
            <wp:extent cx="5400675" cy="2147337"/>
            <wp:effectExtent l="0" t="0" r="0" b="571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print">
                      <a:extLst>
                        <a:ext uri="{28A0092B-C50C-407E-A947-70E740481C1C}">
                          <a14:useLocalDpi xmlns:a14="http://schemas.microsoft.com/office/drawing/2010/main"/>
                        </a:ext>
                      </a:extLst>
                    </a:blip>
                    <a:srcRect/>
                    <a:stretch/>
                  </pic:blipFill>
                  <pic:spPr bwMode="auto">
                    <a:xfrm>
                      <a:off x="0" y="0"/>
                      <a:ext cx="5413914" cy="2152601"/>
                    </a:xfrm>
                    <a:prstGeom prst="rect">
                      <a:avLst/>
                    </a:prstGeom>
                    <a:ln>
                      <a:noFill/>
                    </a:ln>
                    <a:extLst>
                      <a:ext uri="{53640926-AAD7-44D8-BBD7-CCE9431645EC}">
                        <a14:shadowObscured xmlns:a14="http://schemas.microsoft.com/office/drawing/2010/main"/>
                      </a:ext>
                    </a:extLst>
                  </pic:spPr>
                </pic:pic>
              </a:graphicData>
            </a:graphic>
          </wp:inline>
        </w:drawing>
      </w:r>
    </w:p>
    <w:p w14:paraId="583A8197" w14:textId="7998ED6A" w:rsidR="006F212D" w:rsidRDefault="006F212D" w:rsidP="00AE5A25">
      <w:pPr>
        <w:spacing w:after="0" w:line="240" w:lineRule="auto"/>
        <w:ind w:right="-284"/>
        <w:jc w:val="both"/>
        <w:rPr>
          <w:rStyle w:val="Hipervnculo"/>
          <w:rFonts w:cstheme="minorHAnsi"/>
          <w:sz w:val="24"/>
          <w:szCs w:val="24"/>
        </w:rPr>
      </w:pPr>
      <w:r>
        <w:rPr>
          <w:rStyle w:val="Hipervnculo"/>
          <w:rFonts w:cstheme="minorHAnsi"/>
          <w:sz w:val="24"/>
          <w:szCs w:val="24"/>
        </w:rPr>
        <w:br w:type="page"/>
      </w:r>
    </w:p>
    <w:p w14:paraId="7AD8EB5F" w14:textId="77777777" w:rsidR="00BD22D8" w:rsidRDefault="00BD22D8">
      <w:pPr>
        <w:spacing w:after="0" w:line="240" w:lineRule="auto"/>
        <w:rPr>
          <w:rStyle w:val="Hipervnculo"/>
          <w:rFonts w:cstheme="minorHAnsi"/>
          <w:sz w:val="24"/>
          <w:szCs w:val="24"/>
        </w:rPr>
      </w:pPr>
    </w:p>
    <w:p w14:paraId="3BD1BC85" w14:textId="77777777" w:rsidR="00C87870" w:rsidRDefault="00C87870" w:rsidP="00C87870">
      <w:pPr>
        <w:jc w:val="both"/>
        <w:rPr>
          <w:bCs/>
          <w:sz w:val="24"/>
          <w:szCs w:val="24"/>
        </w:rPr>
      </w:pPr>
      <w:r>
        <w:rPr>
          <w:bCs/>
          <w:sz w:val="24"/>
          <w:szCs w:val="24"/>
        </w:rPr>
        <w:t>Esta asociación anuncia que presentará con posterioridade a ésta alegación, un informe de prevalencia e incompatibilidade.</w:t>
      </w:r>
    </w:p>
    <w:p w14:paraId="2D3F249E" w14:textId="77777777" w:rsidR="003234B6" w:rsidRPr="00501ECF" w:rsidRDefault="003234B6" w:rsidP="003234B6">
      <w:pPr>
        <w:autoSpaceDE w:val="0"/>
        <w:autoSpaceDN w:val="0"/>
        <w:adjustRightInd w:val="0"/>
        <w:spacing w:before="240" w:after="0" w:line="240" w:lineRule="auto"/>
        <w:jc w:val="both"/>
        <w:rPr>
          <w:rFonts w:cs="Calibri"/>
          <w:sz w:val="24"/>
          <w:szCs w:val="24"/>
        </w:rPr>
      </w:pPr>
      <w:r w:rsidRPr="00501ECF">
        <w:rPr>
          <w:rFonts w:cs="Calibri"/>
          <w:sz w:val="24"/>
          <w:szCs w:val="24"/>
        </w:rPr>
        <w:t xml:space="preserve">Por todo o anteriormente exposto </w:t>
      </w:r>
      <w:r w:rsidRPr="00501ECF">
        <w:rPr>
          <w:rFonts w:cs="Calibri"/>
          <w:b/>
          <w:bCs/>
          <w:sz w:val="24"/>
          <w:szCs w:val="24"/>
        </w:rPr>
        <w:t>SOLICITO</w:t>
      </w:r>
      <w:r w:rsidRPr="00501ECF">
        <w:rPr>
          <w:rFonts w:cs="Calibri"/>
          <w:sz w:val="24"/>
          <w:szCs w:val="24"/>
        </w:rPr>
        <w:t>,</w:t>
      </w:r>
    </w:p>
    <w:p w14:paraId="6A6C92B2" w14:textId="77777777" w:rsidR="003234B6" w:rsidRPr="00501ECF" w:rsidRDefault="003234B6" w:rsidP="00246A53">
      <w:pPr>
        <w:numPr>
          <w:ilvl w:val="0"/>
          <w:numId w:val="24"/>
        </w:numPr>
        <w:autoSpaceDE w:val="0"/>
        <w:autoSpaceDN w:val="0"/>
        <w:adjustRightInd w:val="0"/>
        <w:spacing w:before="120" w:after="0" w:line="240" w:lineRule="auto"/>
        <w:ind w:left="357" w:hanging="357"/>
        <w:jc w:val="both"/>
        <w:rPr>
          <w:rFonts w:cs="Calibri"/>
          <w:sz w:val="24"/>
          <w:szCs w:val="24"/>
        </w:rPr>
      </w:pPr>
      <w:r w:rsidRPr="00501ECF">
        <w:rPr>
          <w:rFonts w:cs="Calibri"/>
          <w:sz w:val="24"/>
          <w:szCs w:val="24"/>
        </w:rPr>
        <w:t xml:space="preserve">Que </w:t>
      </w:r>
      <w:r w:rsidRPr="00501ECF">
        <w:rPr>
          <w:rFonts w:cs="Calibri"/>
          <w:b/>
          <w:sz w:val="24"/>
          <w:szCs w:val="24"/>
        </w:rPr>
        <w:t>teña por presentado</w:t>
      </w:r>
      <w:r w:rsidRPr="00501ECF">
        <w:rPr>
          <w:rFonts w:cs="Calibri"/>
          <w:sz w:val="24"/>
          <w:szCs w:val="24"/>
        </w:rPr>
        <w:t xml:space="preserve"> este escrito e por formuladas as alegacións que contén, que se presentan en tempo e forma, que sexan estimadas as mesmas e que en consecuencia,</w:t>
      </w:r>
    </w:p>
    <w:p w14:paraId="62449393" w14:textId="4D25449E" w:rsidR="003234B6" w:rsidRPr="00501ECF" w:rsidRDefault="003234B6" w:rsidP="00246A53">
      <w:pPr>
        <w:numPr>
          <w:ilvl w:val="0"/>
          <w:numId w:val="24"/>
        </w:numPr>
        <w:autoSpaceDE w:val="0"/>
        <w:autoSpaceDN w:val="0"/>
        <w:adjustRightInd w:val="0"/>
        <w:spacing w:before="120" w:after="0" w:line="240" w:lineRule="auto"/>
        <w:ind w:left="357" w:hanging="357"/>
        <w:jc w:val="both"/>
        <w:rPr>
          <w:rFonts w:cs="Calibri"/>
          <w:sz w:val="24"/>
          <w:szCs w:val="24"/>
        </w:rPr>
      </w:pPr>
      <w:r w:rsidRPr="00501ECF">
        <w:rPr>
          <w:rFonts w:cs="Calibri"/>
          <w:sz w:val="24"/>
          <w:szCs w:val="24"/>
        </w:rPr>
        <w:t xml:space="preserve">Que se proceda a </w:t>
      </w:r>
      <w:r w:rsidR="002F2AAC" w:rsidRPr="002F2AAC">
        <w:rPr>
          <w:rFonts w:cs="Calibri"/>
          <w:b/>
          <w:sz w:val="24"/>
          <w:szCs w:val="24"/>
          <w:u w:val="single"/>
        </w:rPr>
        <w:t>DESESTIMAR</w:t>
      </w:r>
      <w:r w:rsidRPr="00501ECF">
        <w:rPr>
          <w:rFonts w:cs="Calibri"/>
          <w:sz w:val="24"/>
          <w:szCs w:val="24"/>
        </w:rPr>
        <w:t xml:space="preserve"> a solicitude de autorización administrativa previa e de construcción e aprobación  do proxecto sectorial de incidencia supramunicipal (proxecto de interese autonómico) e declaración de utilidade pública do proxecto do parque eólico “</w:t>
      </w:r>
      <w:r w:rsidR="00227F30">
        <w:rPr>
          <w:rFonts w:cs="Calibri"/>
          <w:sz w:val="24"/>
          <w:szCs w:val="24"/>
        </w:rPr>
        <w:t>To</w:t>
      </w:r>
      <w:r w:rsidR="009A07AE">
        <w:rPr>
          <w:rFonts w:cs="Calibri"/>
          <w:sz w:val="24"/>
          <w:szCs w:val="24"/>
        </w:rPr>
        <w:t>r</w:t>
      </w:r>
      <w:r w:rsidR="00227F30">
        <w:rPr>
          <w:rFonts w:cs="Calibri"/>
          <w:sz w:val="24"/>
          <w:szCs w:val="24"/>
        </w:rPr>
        <w:t>roña</w:t>
      </w:r>
      <w:r w:rsidR="009A07AE">
        <w:rPr>
          <w:rFonts w:cs="Calibri"/>
          <w:sz w:val="24"/>
          <w:szCs w:val="24"/>
        </w:rPr>
        <w:t xml:space="preserve"> I</w:t>
      </w:r>
      <w:r w:rsidRPr="00501ECF">
        <w:rPr>
          <w:rFonts w:cs="Calibri"/>
          <w:sz w:val="24"/>
          <w:szCs w:val="24"/>
        </w:rPr>
        <w:t xml:space="preserve">”, </w:t>
      </w:r>
      <w:r w:rsidR="009A07AE">
        <w:rPr>
          <w:rFonts w:cs="Calibri"/>
          <w:sz w:val="24"/>
          <w:szCs w:val="24"/>
        </w:rPr>
        <w:t xml:space="preserve">así como a declaración de impacto ambiental desfavorable, </w:t>
      </w:r>
      <w:r w:rsidRPr="00501ECF">
        <w:rPr>
          <w:rFonts w:cs="Calibri"/>
          <w:sz w:val="24"/>
          <w:szCs w:val="24"/>
        </w:rPr>
        <w:t>téndome por parte interesada, déseme traslado da resolución que recaia no presente procedemento administrativo.</w:t>
      </w:r>
    </w:p>
    <w:p w14:paraId="7BDE513B" w14:textId="20CB4DA9" w:rsidR="003234B6" w:rsidRDefault="009A07AE" w:rsidP="00246A53">
      <w:pPr>
        <w:numPr>
          <w:ilvl w:val="0"/>
          <w:numId w:val="24"/>
        </w:numPr>
        <w:autoSpaceDE w:val="0"/>
        <w:autoSpaceDN w:val="0"/>
        <w:adjustRightInd w:val="0"/>
        <w:spacing w:before="120" w:after="0" w:line="240" w:lineRule="auto"/>
        <w:ind w:left="357" w:hanging="357"/>
        <w:jc w:val="both"/>
        <w:rPr>
          <w:rFonts w:cs="Calibri"/>
          <w:sz w:val="24"/>
          <w:szCs w:val="24"/>
        </w:rPr>
      </w:pPr>
      <w:r>
        <w:rPr>
          <w:rFonts w:cs="Calibri"/>
          <w:sz w:val="24"/>
          <w:szCs w:val="24"/>
        </w:rPr>
        <w:t>Que en función d</w:t>
      </w:r>
      <w:r w:rsidR="003234B6" w:rsidRPr="00501ECF">
        <w:rPr>
          <w:rFonts w:cs="Calibri"/>
          <w:sz w:val="24"/>
          <w:szCs w:val="24"/>
        </w:rPr>
        <w:t>o artigo 9, apartado 5º da Lei 21/2013 de avaliación ambiental (artigo único, punto 5 da Lei 9/2018, de 5 de decembro, pola que se modifica a Lei 21/2013), no que se precisa que “</w:t>
      </w:r>
      <w:r w:rsidR="003234B6" w:rsidRPr="00501ECF">
        <w:rPr>
          <w:rFonts w:cs="Calibri"/>
          <w:i/>
          <w:sz w:val="24"/>
          <w:szCs w:val="24"/>
        </w:rPr>
        <w:t>Las Administraciones Públicas garantizarán que los órganos ambientales disponen de conocimientos para examinar los estudios y documentos ambientales estratégicos, y los estudios y documentos de impacto ambiental…</w:t>
      </w:r>
      <w:r w:rsidR="003234B6" w:rsidRPr="00501ECF">
        <w:rPr>
          <w:rFonts w:cs="Calibri"/>
          <w:sz w:val="24"/>
          <w:szCs w:val="24"/>
        </w:rPr>
        <w:t xml:space="preserve">” e o artigo 53, apartado 1.b, da Lei 39/2015 do Procedimiento Administrativo Común das Administracións Públicas, establece que os interesados nun procedemento administrativo teñen dereito a “identificar a las autoridades y al personal al servicio de las Administraciones Públicas bajo cuya responsabilidad se tramiten los procedimientos”, ao amparo de ambas normas, </w:t>
      </w:r>
      <w:r w:rsidR="003234B6" w:rsidRPr="00501ECF">
        <w:rPr>
          <w:rFonts w:cs="Calibri"/>
          <w:b/>
          <w:sz w:val="24"/>
          <w:szCs w:val="24"/>
        </w:rPr>
        <w:t>se identifiquen os funcionarios e a capacitación profesional</w:t>
      </w:r>
      <w:r w:rsidR="003234B6" w:rsidRPr="00501ECF">
        <w:rPr>
          <w:rFonts w:cs="Calibri"/>
          <w:sz w:val="24"/>
          <w:szCs w:val="24"/>
        </w:rPr>
        <w:t xml:space="preserve"> de cantos interveñen na revisión</w:t>
      </w:r>
      <w:r w:rsidR="002F2AAC">
        <w:rPr>
          <w:rFonts w:cs="Calibri"/>
          <w:sz w:val="24"/>
          <w:szCs w:val="24"/>
        </w:rPr>
        <w:t xml:space="preserve"> e tramitación dos documentos relacionados co expediente </w:t>
      </w:r>
      <w:r w:rsidRPr="003B05C0">
        <w:rPr>
          <w:rFonts w:asciiTheme="minorHAnsi" w:hAnsiTheme="minorHAnsi" w:cstheme="minorHAnsi"/>
          <w:i/>
          <w:iCs/>
          <w:color w:val="000000"/>
          <w:lang w:eastAsia="es-ES"/>
        </w:rPr>
        <w:t>IN408A 2020/24</w:t>
      </w:r>
      <w:r w:rsidR="003234B6" w:rsidRPr="00501ECF">
        <w:rPr>
          <w:rFonts w:cs="Calibri"/>
          <w:sz w:val="24"/>
          <w:szCs w:val="24"/>
        </w:rPr>
        <w:t>.</w:t>
      </w:r>
    </w:p>
    <w:p w14:paraId="1ADF34AE" w14:textId="77777777" w:rsidR="003234B6" w:rsidRPr="00405A9C" w:rsidRDefault="003234B6" w:rsidP="009522E6">
      <w:pPr>
        <w:pStyle w:val="Prrafodelista"/>
        <w:numPr>
          <w:ilvl w:val="0"/>
          <w:numId w:val="24"/>
        </w:numPr>
        <w:suppressAutoHyphens/>
        <w:spacing w:before="120"/>
        <w:ind w:left="426" w:hanging="426"/>
        <w:contextualSpacing/>
        <w:jc w:val="both"/>
        <w:rPr>
          <w:rFonts w:asciiTheme="minorHAnsi" w:hAnsiTheme="minorHAnsi" w:cstheme="minorHAnsi"/>
          <w:sz w:val="24"/>
          <w:szCs w:val="24"/>
        </w:rPr>
      </w:pPr>
      <w:r w:rsidRPr="006A2D71">
        <w:rPr>
          <w:rFonts w:asciiTheme="minorHAnsi" w:hAnsiTheme="minorHAnsi" w:cstheme="minorHAnsi"/>
          <w:sz w:val="24"/>
          <w:szCs w:val="24"/>
        </w:rPr>
        <w:t xml:space="preserve">Que se inclúa un informe do ICOMOS </w:t>
      </w:r>
      <w:r w:rsidRPr="006A2D71">
        <w:rPr>
          <w:sz w:val="24"/>
          <w:szCs w:val="24"/>
        </w:rPr>
        <w:t>(</w:t>
      </w:r>
      <w:r w:rsidRPr="006A2D71">
        <w:rPr>
          <w:i/>
          <w:iCs/>
          <w:sz w:val="24"/>
          <w:szCs w:val="24"/>
        </w:rPr>
        <w:t>Consello Internacional de Monumentos e Sitios</w:t>
      </w:r>
      <w:r w:rsidRPr="006A2D71">
        <w:rPr>
          <w:sz w:val="24"/>
          <w:szCs w:val="24"/>
        </w:rPr>
        <w:t>) coa finalidade de avaliar os efectos paisaxísticos do PE no Camiño de Santiago Portugués pola Costa.</w:t>
      </w:r>
    </w:p>
    <w:p w14:paraId="7FF4AE6E" w14:textId="1DDB4668" w:rsidR="003234B6" w:rsidRPr="00191349" w:rsidRDefault="003234B6" w:rsidP="00246A53">
      <w:pPr>
        <w:numPr>
          <w:ilvl w:val="0"/>
          <w:numId w:val="24"/>
        </w:numPr>
        <w:autoSpaceDE w:val="0"/>
        <w:autoSpaceDN w:val="0"/>
        <w:adjustRightInd w:val="0"/>
        <w:spacing w:before="120" w:after="0" w:line="240" w:lineRule="auto"/>
        <w:ind w:left="357" w:hanging="357"/>
        <w:jc w:val="both"/>
        <w:rPr>
          <w:rFonts w:cs="Calibri"/>
          <w:color w:val="000000" w:themeColor="text1"/>
          <w:sz w:val="24"/>
          <w:szCs w:val="24"/>
        </w:rPr>
      </w:pPr>
      <w:r>
        <w:rPr>
          <w:color w:val="000000" w:themeColor="text1"/>
          <w:sz w:val="24"/>
          <w:szCs w:val="24"/>
          <w:lang w:val="gl-ES"/>
        </w:rPr>
        <w:t>Q</w:t>
      </w:r>
      <w:r w:rsidRPr="00253C96">
        <w:rPr>
          <w:color w:val="000000" w:themeColor="text1"/>
          <w:sz w:val="24"/>
          <w:szCs w:val="24"/>
          <w:lang w:val="gl-ES"/>
        </w:rPr>
        <w:t xml:space="preserve">ue tendo por presentado este escrito, se </w:t>
      </w:r>
      <w:r w:rsidRPr="00253C96">
        <w:rPr>
          <w:color w:val="000000" w:themeColor="text1"/>
          <w:sz w:val="24"/>
          <w:szCs w:val="24"/>
          <w:shd w:val="clear" w:color="auto" w:fill="FFFFFF"/>
          <w:lang w:val="gl-ES"/>
        </w:rPr>
        <w:t>nos teña por persoados no</w:t>
      </w:r>
      <w:r w:rsidRPr="00253C96">
        <w:rPr>
          <w:color w:val="000000" w:themeColor="text1"/>
          <w:sz w:val="24"/>
          <w:szCs w:val="24"/>
          <w:lang w:val="gl-ES"/>
        </w:rPr>
        <w:t xml:space="preserve"> presente procedemento, </w:t>
      </w:r>
      <w:r w:rsidR="009522E6">
        <w:rPr>
          <w:color w:val="000000" w:themeColor="text1"/>
          <w:sz w:val="24"/>
          <w:szCs w:val="24"/>
          <w:lang w:val="gl-ES"/>
        </w:rPr>
        <w:t xml:space="preserve">condición xa solicitada e explicada na Alegación 9 </w:t>
      </w:r>
      <w:r w:rsidRPr="00253C96">
        <w:rPr>
          <w:color w:val="000000" w:themeColor="text1"/>
          <w:sz w:val="24"/>
          <w:szCs w:val="24"/>
          <w:lang w:val="gl-ES"/>
        </w:rPr>
        <w:t>e consecuentemente se nos dé vista do actuado, se nos comuniquen as incidencias que no sucesivo se produzan, se nos dea audiencia antes de dictarse a resolución e se nos notifique ésta.</w:t>
      </w:r>
    </w:p>
    <w:p w14:paraId="68D4AD24" w14:textId="77777777" w:rsidR="003234B6" w:rsidRPr="00501ECF" w:rsidRDefault="003234B6" w:rsidP="00246A53">
      <w:pPr>
        <w:numPr>
          <w:ilvl w:val="0"/>
          <w:numId w:val="24"/>
        </w:numPr>
        <w:autoSpaceDE w:val="0"/>
        <w:autoSpaceDN w:val="0"/>
        <w:adjustRightInd w:val="0"/>
        <w:spacing w:before="120" w:after="0" w:line="240" w:lineRule="auto"/>
        <w:ind w:left="357" w:hanging="357"/>
        <w:jc w:val="both"/>
        <w:rPr>
          <w:rFonts w:cs="Calibri"/>
          <w:sz w:val="24"/>
          <w:szCs w:val="24"/>
        </w:rPr>
      </w:pPr>
    </w:p>
    <w:p w14:paraId="42032F98" w14:textId="77777777" w:rsidR="003234B6" w:rsidRPr="00501ECF" w:rsidRDefault="003234B6" w:rsidP="003234B6">
      <w:pPr>
        <w:autoSpaceDE w:val="0"/>
        <w:autoSpaceDN w:val="0"/>
        <w:adjustRightInd w:val="0"/>
        <w:spacing w:before="120" w:after="0" w:line="240" w:lineRule="auto"/>
        <w:jc w:val="both"/>
        <w:rPr>
          <w:rFonts w:cs="Calibri"/>
          <w:sz w:val="24"/>
          <w:szCs w:val="24"/>
        </w:rPr>
      </w:pPr>
      <w:r w:rsidRPr="00501ECF">
        <w:rPr>
          <w:rFonts w:cs="Calibri"/>
          <w:sz w:val="24"/>
          <w:szCs w:val="24"/>
        </w:rPr>
        <w:t>OUTROSÍ DÍ: Que é preciso unha resposta razoada a estas alegacións de acordo a la Ley 39/2015, de 1 de octubre, do procedemento administrativo común das administraciones públicas. A falta de resposta é motivo de nulidade da tramitación.</w:t>
      </w:r>
    </w:p>
    <w:p w14:paraId="0F45BB2E" w14:textId="77777777" w:rsidR="003234B6" w:rsidRPr="00501ECF" w:rsidRDefault="003234B6" w:rsidP="003234B6">
      <w:pPr>
        <w:autoSpaceDE w:val="0"/>
        <w:autoSpaceDN w:val="0"/>
        <w:adjustRightInd w:val="0"/>
        <w:spacing w:before="120" w:after="0" w:line="240" w:lineRule="auto"/>
        <w:jc w:val="both"/>
        <w:rPr>
          <w:rFonts w:cs="Calibri"/>
          <w:sz w:val="24"/>
          <w:szCs w:val="24"/>
        </w:rPr>
      </w:pPr>
    </w:p>
    <w:p w14:paraId="012A88D7" w14:textId="6905501F" w:rsidR="003234B6" w:rsidRPr="00501ECF" w:rsidRDefault="003234B6" w:rsidP="003234B6">
      <w:pPr>
        <w:autoSpaceDE w:val="0"/>
        <w:autoSpaceDN w:val="0"/>
        <w:adjustRightInd w:val="0"/>
        <w:spacing w:after="0" w:line="240" w:lineRule="auto"/>
        <w:jc w:val="both"/>
        <w:rPr>
          <w:rFonts w:cs="Calibri"/>
          <w:sz w:val="24"/>
          <w:szCs w:val="24"/>
        </w:rPr>
      </w:pPr>
      <w:r w:rsidRPr="00501ECF">
        <w:rPr>
          <w:rFonts w:cs="Calibri"/>
          <w:sz w:val="24"/>
          <w:szCs w:val="24"/>
        </w:rPr>
        <w:t>En _______________________a ___</w:t>
      </w:r>
      <w:r w:rsidR="009A07AE">
        <w:rPr>
          <w:rFonts w:cs="Calibri"/>
          <w:sz w:val="24"/>
          <w:szCs w:val="24"/>
        </w:rPr>
        <w:t>_______de ______________del 2023</w:t>
      </w:r>
    </w:p>
    <w:p w14:paraId="57D04B43" w14:textId="77777777" w:rsidR="003234B6" w:rsidRDefault="003234B6" w:rsidP="003234B6">
      <w:pPr>
        <w:autoSpaceDE w:val="0"/>
        <w:autoSpaceDN w:val="0"/>
        <w:adjustRightInd w:val="0"/>
        <w:spacing w:after="0" w:line="240" w:lineRule="auto"/>
        <w:jc w:val="both"/>
        <w:rPr>
          <w:rFonts w:cs="Calibri"/>
          <w:sz w:val="24"/>
          <w:szCs w:val="24"/>
        </w:rPr>
      </w:pPr>
    </w:p>
    <w:p w14:paraId="60844586" w14:textId="77777777" w:rsidR="003234B6" w:rsidRPr="00501ECF" w:rsidRDefault="003234B6" w:rsidP="003234B6">
      <w:pPr>
        <w:autoSpaceDE w:val="0"/>
        <w:autoSpaceDN w:val="0"/>
        <w:adjustRightInd w:val="0"/>
        <w:spacing w:after="0" w:line="240" w:lineRule="auto"/>
        <w:jc w:val="both"/>
        <w:rPr>
          <w:rFonts w:cs="Calibri"/>
          <w:sz w:val="24"/>
          <w:szCs w:val="24"/>
        </w:rPr>
      </w:pPr>
    </w:p>
    <w:p w14:paraId="4D6C183F" w14:textId="77777777" w:rsidR="003234B6" w:rsidRPr="00501ECF" w:rsidRDefault="003234B6" w:rsidP="003234B6">
      <w:pPr>
        <w:autoSpaceDE w:val="0"/>
        <w:autoSpaceDN w:val="0"/>
        <w:adjustRightInd w:val="0"/>
        <w:spacing w:after="0" w:line="240" w:lineRule="auto"/>
        <w:jc w:val="both"/>
        <w:rPr>
          <w:rFonts w:cs="Calibri"/>
          <w:sz w:val="24"/>
          <w:szCs w:val="24"/>
        </w:rPr>
      </w:pPr>
    </w:p>
    <w:p w14:paraId="46EAF850" w14:textId="77777777" w:rsidR="003234B6" w:rsidRPr="00501ECF" w:rsidRDefault="003234B6" w:rsidP="003234B6">
      <w:pPr>
        <w:autoSpaceDE w:val="0"/>
        <w:autoSpaceDN w:val="0"/>
        <w:adjustRightInd w:val="0"/>
        <w:spacing w:after="0" w:line="240" w:lineRule="auto"/>
        <w:jc w:val="both"/>
        <w:rPr>
          <w:rFonts w:cs="Calibri"/>
          <w:sz w:val="24"/>
          <w:szCs w:val="24"/>
        </w:rPr>
      </w:pPr>
      <w:r w:rsidRPr="00501ECF">
        <w:rPr>
          <w:rFonts w:cs="Calibri"/>
          <w:sz w:val="24"/>
          <w:szCs w:val="24"/>
        </w:rPr>
        <w:t>Asdo.: _________________________________</w:t>
      </w:r>
    </w:p>
    <w:p w14:paraId="62C4A6C8" w14:textId="30FA51EE" w:rsidR="00D62200" w:rsidRDefault="00D62200">
      <w:pPr>
        <w:spacing w:after="0" w:line="240" w:lineRule="auto"/>
        <w:rPr>
          <w:rFonts w:cs="Arial"/>
          <w:color w:val="000000"/>
          <w:sz w:val="24"/>
          <w:szCs w:val="24"/>
        </w:rPr>
      </w:pPr>
      <w:r>
        <w:rPr>
          <w:rFonts w:cs="Arial"/>
          <w:color w:val="000000"/>
          <w:sz w:val="24"/>
          <w:szCs w:val="24"/>
        </w:rPr>
        <w:br w:type="page"/>
      </w:r>
    </w:p>
    <w:p w14:paraId="5EE67CD1" w14:textId="77777777" w:rsidR="00D62200" w:rsidRPr="00325911" w:rsidRDefault="00D62200" w:rsidP="00D2055F">
      <w:pPr>
        <w:pStyle w:val="Ttulo1"/>
        <w:jc w:val="center"/>
        <w:rPr>
          <w:b w:val="0"/>
        </w:rPr>
      </w:pPr>
      <w:bookmarkStart w:id="477" w:name="_Toc132511049"/>
      <w:r w:rsidRPr="00325911">
        <w:lastRenderedPageBreak/>
        <w:t>ANEXO I</w:t>
      </w:r>
      <w:bookmarkEnd w:id="477"/>
    </w:p>
    <w:p w14:paraId="4B4F5463" w14:textId="77777777" w:rsidR="00D62200" w:rsidRDefault="00D62200" w:rsidP="00D62200">
      <w:pPr>
        <w:ind w:left="1701" w:right="424" w:hanging="1701"/>
      </w:pPr>
    </w:p>
    <w:p w14:paraId="3D653A79" w14:textId="77777777" w:rsidR="00D62200" w:rsidRDefault="00D62200" w:rsidP="00D62200">
      <w:pPr>
        <w:ind w:left="1701" w:right="424" w:hanging="1701"/>
      </w:pPr>
    </w:p>
    <w:p w14:paraId="6F810BFF" w14:textId="77777777" w:rsidR="00D62200" w:rsidRDefault="00D62200" w:rsidP="00D62200">
      <w:pPr>
        <w:ind w:left="1701" w:right="424" w:hanging="1701"/>
      </w:pPr>
    </w:p>
    <w:p w14:paraId="44B61FE3" w14:textId="77777777" w:rsidR="00D62200" w:rsidRPr="00537068" w:rsidRDefault="00D62200" w:rsidP="00D62200">
      <w:pPr>
        <w:spacing w:after="160" w:line="256" w:lineRule="auto"/>
        <w:ind w:right="424"/>
        <w:jc w:val="center"/>
        <w:rPr>
          <w:rFonts w:cstheme="minorHAnsi"/>
          <w:b/>
          <w:sz w:val="48"/>
          <w:szCs w:val="48"/>
          <w:lang w:val="gl-ES"/>
        </w:rPr>
      </w:pPr>
      <w:r w:rsidRPr="00537068">
        <w:rPr>
          <w:rFonts w:cstheme="minorHAnsi"/>
          <w:b/>
          <w:sz w:val="48"/>
          <w:szCs w:val="48"/>
          <w:lang w:val="gl-ES"/>
        </w:rPr>
        <w:t>FICHAS DE PATRIMONIO ARQUEOLÓXICO NON CATALOGADO E/OU AFECTADAS  QUE NON FIGURAN NO EsIA DO P.E. TORROÑA I</w:t>
      </w:r>
    </w:p>
    <w:p w14:paraId="19F210AC" w14:textId="77777777" w:rsidR="00D62200" w:rsidRDefault="00D62200" w:rsidP="00D62200">
      <w:pPr>
        <w:spacing w:after="160" w:line="256" w:lineRule="auto"/>
        <w:ind w:right="424"/>
        <w:rPr>
          <w:rFonts w:cstheme="minorHAnsi"/>
          <w:sz w:val="24"/>
          <w:szCs w:val="24"/>
          <w:lang w:val="gl-ES"/>
        </w:rPr>
      </w:pPr>
      <w:r>
        <w:rPr>
          <w:rFonts w:cstheme="minorHAnsi"/>
          <w:sz w:val="24"/>
          <w:szCs w:val="24"/>
          <w:lang w:val="gl-ES"/>
        </w:rPr>
        <w:t xml:space="preserve">Índice: </w:t>
      </w:r>
    </w:p>
    <w:p w14:paraId="76765BB7" w14:textId="77777777" w:rsidR="00D62200" w:rsidRDefault="00D62200" w:rsidP="00DD30C9">
      <w:pPr>
        <w:pStyle w:val="Prrafodelista"/>
        <w:numPr>
          <w:ilvl w:val="0"/>
          <w:numId w:val="33"/>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 xml:space="preserve"> Regueiro da Silveira</w:t>
      </w:r>
    </w:p>
    <w:p w14:paraId="35A97564" w14:textId="77777777" w:rsidR="00D62200" w:rsidRDefault="00D62200" w:rsidP="00DD30C9">
      <w:pPr>
        <w:pStyle w:val="Prrafodelista"/>
        <w:numPr>
          <w:ilvl w:val="0"/>
          <w:numId w:val="33"/>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Camiño da Mina 01,02 e 03</w:t>
      </w:r>
    </w:p>
    <w:p w14:paraId="4109452F" w14:textId="77777777" w:rsidR="00D62200" w:rsidRDefault="00D62200" w:rsidP="00DD30C9">
      <w:pPr>
        <w:pStyle w:val="Prrafodelista"/>
        <w:numPr>
          <w:ilvl w:val="0"/>
          <w:numId w:val="33"/>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Fonte do campo de Blas</w:t>
      </w:r>
    </w:p>
    <w:p w14:paraId="1BAFFD55" w14:textId="77777777" w:rsidR="00D62200" w:rsidRDefault="00D62200" w:rsidP="00DD30C9">
      <w:pPr>
        <w:pStyle w:val="Prrafodelista"/>
        <w:numPr>
          <w:ilvl w:val="0"/>
          <w:numId w:val="33"/>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Ladeira das Aradelas 02</w:t>
      </w:r>
    </w:p>
    <w:p w14:paraId="499676E0" w14:textId="77777777" w:rsidR="00D62200" w:rsidRDefault="00D62200" w:rsidP="00DD30C9">
      <w:pPr>
        <w:pStyle w:val="Prrafodelista"/>
        <w:numPr>
          <w:ilvl w:val="0"/>
          <w:numId w:val="33"/>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Lourido 01</w:t>
      </w:r>
    </w:p>
    <w:p w14:paraId="2C5B56C7" w14:textId="77777777" w:rsidR="00D62200" w:rsidRDefault="00D62200" w:rsidP="00DD30C9">
      <w:pPr>
        <w:pStyle w:val="Prrafodelista"/>
        <w:numPr>
          <w:ilvl w:val="0"/>
          <w:numId w:val="33"/>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Lourido 03</w:t>
      </w:r>
    </w:p>
    <w:p w14:paraId="471CDD3F" w14:textId="77777777" w:rsidR="00D62200" w:rsidRDefault="00D62200" w:rsidP="00DD30C9">
      <w:pPr>
        <w:pStyle w:val="Prrafodelista"/>
        <w:numPr>
          <w:ilvl w:val="0"/>
          <w:numId w:val="33"/>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Niño do Corvo</w:t>
      </w:r>
    </w:p>
    <w:p w14:paraId="39608245" w14:textId="77777777" w:rsidR="00D62200" w:rsidRDefault="00D62200" w:rsidP="00DD30C9">
      <w:pPr>
        <w:pStyle w:val="Prrafodelista"/>
        <w:numPr>
          <w:ilvl w:val="0"/>
          <w:numId w:val="33"/>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O Ariieiro 01</w:t>
      </w:r>
    </w:p>
    <w:p w14:paraId="46725660" w14:textId="77777777" w:rsidR="00D62200" w:rsidRDefault="00D62200" w:rsidP="00DD30C9">
      <w:pPr>
        <w:pStyle w:val="Prrafodelista"/>
        <w:numPr>
          <w:ilvl w:val="0"/>
          <w:numId w:val="33"/>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O Capiado 01</w:t>
      </w:r>
    </w:p>
    <w:p w14:paraId="2B687B64" w14:textId="77777777" w:rsidR="00D62200" w:rsidRDefault="00D62200" w:rsidP="00DD30C9">
      <w:pPr>
        <w:pStyle w:val="Prrafodelista"/>
        <w:numPr>
          <w:ilvl w:val="0"/>
          <w:numId w:val="33"/>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O Capiado 02</w:t>
      </w:r>
    </w:p>
    <w:p w14:paraId="62526EFD" w14:textId="77777777" w:rsidR="00D62200" w:rsidRDefault="00D62200" w:rsidP="00DD30C9">
      <w:pPr>
        <w:pStyle w:val="Prrafodelista"/>
        <w:numPr>
          <w:ilvl w:val="0"/>
          <w:numId w:val="33"/>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Outeiro dos Cortellos</w:t>
      </w:r>
    </w:p>
    <w:p w14:paraId="0F78BA94" w14:textId="77777777" w:rsidR="00D62200" w:rsidRDefault="00D62200" w:rsidP="00DD30C9">
      <w:pPr>
        <w:pStyle w:val="Prrafodelista"/>
        <w:numPr>
          <w:ilvl w:val="0"/>
          <w:numId w:val="33"/>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Outeiros da Secreta</w:t>
      </w:r>
    </w:p>
    <w:p w14:paraId="259A6B00" w14:textId="77777777" w:rsidR="00D62200" w:rsidRDefault="00D62200" w:rsidP="00DD30C9">
      <w:pPr>
        <w:pStyle w:val="Prrafodelista"/>
        <w:numPr>
          <w:ilvl w:val="0"/>
          <w:numId w:val="33"/>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Petróglifo da Pedra Ancha</w:t>
      </w:r>
    </w:p>
    <w:p w14:paraId="3007B16C" w14:textId="77777777" w:rsidR="00D62200" w:rsidRDefault="00D62200" w:rsidP="00DD30C9">
      <w:pPr>
        <w:pStyle w:val="Prrafodelista"/>
        <w:numPr>
          <w:ilvl w:val="0"/>
          <w:numId w:val="33"/>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Cerro das Aradelas 01</w:t>
      </w:r>
    </w:p>
    <w:p w14:paraId="322E4E95" w14:textId="77777777" w:rsidR="00D62200" w:rsidRDefault="00D62200" w:rsidP="00DD30C9">
      <w:pPr>
        <w:pStyle w:val="Prrafodelista"/>
        <w:numPr>
          <w:ilvl w:val="0"/>
          <w:numId w:val="33"/>
        </w:numPr>
        <w:spacing w:after="160" w:line="256" w:lineRule="auto"/>
        <w:ind w:right="424"/>
        <w:contextualSpacing/>
        <w:rPr>
          <w:rFonts w:eastAsiaTheme="minorHAnsi" w:cstheme="minorHAnsi"/>
          <w:sz w:val="24"/>
          <w:szCs w:val="24"/>
          <w:lang w:val="gl-ES"/>
        </w:rPr>
      </w:pPr>
      <w:r>
        <w:rPr>
          <w:rFonts w:eastAsiaTheme="minorHAnsi" w:cstheme="minorHAnsi"/>
          <w:sz w:val="24"/>
          <w:szCs w:val="24"/>
          <w:lang w:val="gl-ES"/>
        </w:rPr>
        <w:t>Regueira dos Campos 04</w:t>
      </w:r>
    </w:p>
    <w:p w14:paraId="35897582" w14:textId="77777777" w:rsidR="00D62200" w:rsidRDefault="00D62200" w:rsidP="00D62200">
      <w:pPr>
        <w:ind w:right="424"/>
      </w:pPr>
    </w:p>
    <w:p w14:paraId="756DCBB9" w14:textId="77777777" w:rsidR="00D62200" w:rsidRDefault="00D62200" w:rsidP="00D62200">
      <w:pPr>
        <w:ind w:left="1701" w:right="424" w:hanging="1701"/>
      </w:pPr>
    </w:p>
    <w:p w14:paraId="102D6DB3" w14:textId="77777777" w:rsidR="00D62200" w:rsidRDefault="00D62200" w:rsidP="00D62200">
      <w:pPr>
        <w:ind w:right="424"/>
      </w:pPr>
      <w:r>
        <w:rPr>
          <w:rFonts w:cstheme="minorHAnsi"/>
          <w:b/>
          <w:bCs/>
          <w:noProof/>
          <w:sz w:val="24"/>
          <w:szCs w:val="24"/>
          <w:lang w:eastAsia="es-ES"/>
        </w:rPr>
        <w:lastRenderedPageBreak/>
        <w:drawing>
          <wp:inline distT="0" distB="0" distL="0" distR="0" wp14:anchorId="39D61850" wp14:editId="656F75F3">
            <wp:extent cx="5393690" cy="7633970"/>
            <wp:effectExtent l="1905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3" cstate="print"/>
                    <a:srcRect/>
                    <a:stretch>
                      <a:fillRect/>
                    </a:stretch>
                  </pic:blipFill>
                  <pic:spPr bwMode="auto">
                    <a:xfrm>
                      <a:off x="0" y="0"/>
                      <a:ext cx="5393690" cy="7633970"/>
                    </a:xfrm>
                    <a:prstGeom prst="rect">
                      <a:avLst/>
                    </a:prstGeom>
                    <a:noFill/>
                    <a:ln w="9525">
                      <a:noFill/>
                      <a:miter lim="800000"/>
                      <a:headEnd/>
                      <a:tailEnd/>
                    </a:ln>
                  </pic:spPr>
                </pic:pic>
              </a:graphicData>
            </a:graphic>
          </wp:inline>
        </w:drawing>
      </w:r>
      <w:r>
        <w:rPr>
          <w:rFonts w:cstheme="minorHAnsi"/>
          <w:b/>
          <w:bCs/>
          <w:noProof/>
          <w:sz w:val="24"/>
          <w:szCs w:val="24"/>
          <w:lang w:eastAsia="es-ES"/>
        </w:rPr>
        <w:lastRenderedPageBreak/>
        <w:drawing>
          <wp:inline distT="0" distB="0" distL="0" distR="0" wp14:anchorId="000CD0A9" wp14:editId="06AD8DA8">
            <wp:extent cx="5393690" cy="7633970"/>
            <wp:effectExtent l="1905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4" cstate="print"/>
                    <a:srcRect/>
                    <a:stretch>
                      <a:fillRect/>
                    </a:stretch>
                  </pic:blipFill>
                  <pic:spPr bwMode="auto">
                    <a:xfrm>
                      <a:off x="0" y="0"/>
                      <a:ext cx="5393690" cy="7633970"/>
                    </a:xfrm>
                    <a:prstGeom prst="rect">
                      <a:avLst/>
                    </a:prstGeom>
                    <a:noFill/>
                    <a:ln w="9525">
                      <a:noFill/>
                      <a:miter lim="800000"/>
                      <a:headEnd/>
                      <a:tailEnd/>
                    </a:ln>
                  </pic:spPr>
                </pic:pic>
              </a:graphicData>
            </a:graphic>
          </wp:inline>
        </w:drawing>
      </w:r>
      <w:r>
        <w:rPr>
          <w:rFonts w:cstheme="minorHAnsi"/>
          <w:b/>
          <w:bCs/>
          <w:noProof/>
          <w:sz w:val="24"/>
          <w:szCs w:val="24"/>
          <w:lang w:eastAsia="es-ES"/>
        </w:rPr>
        <w:lastRenderedPageBreak/>
        <w:drawing>
          <wp:inline distT="0" distB="0" distL="0" distR="0" wp14:anchorId="4B202A97" wp14:editId="2C0ED212">
            <wp:extent cx="5393690" cy="7633970"/>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srcRect/>
                    <a:stretch>
                      <a:fillRect/>
                    </a:stretch>
                  </pic:blipFill>
                  <pic:spPr bwMode="auto">
                    <a:xfrm>
                      <a:off x="0" y="0"/>
                      <a:ext cx="5393690" cy="7633970"/>
                    </a:xfrm>
                    <a:prstGeom prst="rect">
                      <a:avLst/>
                    </a:prstGeom>
                    <a:noFill/>
                    <a:ln w="9525">
                      <a:noFill/>
                      <a:miter lim="800000"/>
                      <a:headEnd/>
                      <a:tailEnd/>
                    </a:ln>
                  </pic:spPr>
                </pic:pic>
              </a:graphicData>
            </a:graphic>
          </wp:inline>
        </w:drawing>
      </w:r>
      <w:r>
        <w:rPr>
          <w:rFonts w:cstheme="minorHAnsi"/>
          <w:b/>
          <w:bCs/>
          <w:noProof/>
          <w:sz w:val="24"/>
          <w:szCs w:val="24"/>
          <w:lang w:eastAsia="es-ES"/>
        </w:rPr>
        <w:lastRenderedPageBreak/>
        <w:drawing>
          <wp:inline distT="0" distB="0" distL="0" distR="0" wp14:anchorId="4F9DBD6D" wp14:editId="7178E3F9">
            <wp:extent cx="5393690" cy="7633970"/>
            <wp:effectExtent l="1905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6" cstate="print"/>
                    <a:srcRect/>
                    <a:stretch>
                      <a:fillRect/>
                    </a:stretch>
                  </pic:blipFill>
                  <pic:spPr bwMode="auto">
                    <a:xfrm>
                      <a:off x="0" y="0"/>
                      <a:ext cx="5393690" cy="7633970"/>
                    </a:xfrm>
                    <a:prstGeom prst="rect">
                      <a:avLst/>
                    </a:prstGeom>
                    <a:noFill/>
                    <a:ln w="9525">
                      <a:noFill/>
                      <a:miter lim="800000"/>
                      <a:headEnd/>
                      <a:tailEnd/>
                    </a:ln>
                  </pic:spPr>
                </pic:pic>
              </a:graphicData>
            </a:graphic>
          </wp:inline>
        </w:drawing>
      </w:r>
      <w:r>
        <w:rPr>
          <w:rFonts w:cstheme="minorHAnsi"/>
          <w:b/>
          <w:bCs/>
          <w:noProof/>
          <w:sz w:val="24"/>
          <w:szCs w:val="24"/>
          <w:lang w:eastAsia="es-ES"/>
        </w:rPr>
        <w:lastRenderedPageBreak/>
        <w:drawing>
          <wp:inline distT="0" distB="0" distL="0" distR="0" wp14:anchorId="45CEBE71" wp14:editId="276CDFFA">
            <wp:extent cx="5393690" cy="7633970"/>
            <wp:effectExtent l="1905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7" cstate="print"/>
                    <a:srcRect/>
                    <a:stretch>
                      <a:fillRect/>
                    </a:stretch>
                  </pic:blipFill>
                  <pic:spPr bwMode="auto">
                    <a:xfrm>
                      <a:off x="0" y="0"/>
                      <a:ext cx="5393690" cy="7633970"/>
                    </a:xfrm>
                    <a:prstGeom prst="rect">
                      <a:avLst/>
                    </a:prstGeom>
                    <a:noFill/>
                    <a:ln w="9525">
                      <a:noFill/>
                      <a:miter lim="800000"/>
                      <a:headEnd/>
                      <a:tailEnd/>
                    </a:ln>
                  </pic:spPr>
                </pic:pic>
              </a:graphicData>
            </a:graphic>
          </wp:inline>
        </w:drawing>
      </w:r>
      <w:r>
        <w:rPr>
          <w:rFonts w:cstheme="minorHAnsi"/>
          <w:b/>
          <w:bCs/>
          <w:noProof/>
          <w:sz w:val="24"/>
          <w:szCs w:val="24"/>
          <w:lang w:eastAsia="es-ES"/>
        </w:rPr>
        <w:lastRenderedPageBreak/>
        <w:drawing>
          <wp:inline distT="0" distB="0" distL="0" distR="0" wp14:anchorId="16D93504" wp14:editId="25D3A0F6">
            <wp:extent cx="5393690" cy="7633970"/>
            <wp:effectExtent l="1905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8" cstate="print"/>
                    <a:srcRect/>
                    <a:stretch>
                      <a:fillRect/>
                    </a:stretch>
                  </pic:blipFill>
                  <pic:spPr bwMode="auto">
                    <a:xfrm>
                      <a:off x="0" y="0"/>
                      <a:ext cx="5393690" cy="7633970"/>
                    </a:xfrm>
                    <a:prstGeom prst="rect">
                      <a:avLst/>
                    </a:prstGeom>
                    <a:noFill/>
                    <a:ln w="9525">
                      <a:noFill/>
                      <a:miter lim="800000"/>
                      <a:headEnd/>
                      <a:tailEnd/>
                    </a:ln>
                  </pic:spPr>
                </pic:pic>
              </a:graphicData>
            </a:graphic>
          </wp:inline>
        </w:drawing>
      </w:r>
      <w:r>
        <w:rPr>
          <w:rFonts w:cstheme="minorHAnsi"/>
          <w:b/>
          <w:bCs/>
          <w:noProof/>
          <w:sz w:val="24"/>
          <w:szCs w:val="24"/>
          <w:lang w:eastAsia="es-ES"/>
        </w:rPr>
        <w:lastRenderedPageBreak/>
        <w:drawing>
          <wp:inline distT="0" distB="0" distL="0" distR="0" wp14:anchorId="42D2D449" wp14:editId="2D26C2F9">
            <wp:extent cx="5393690" cy="7633970"/>
            <wp:effectExtent l="1905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9" cstate="print"/>
                    <a:srcRect/>
                    <a:stretch>
                      <a:fillRect/>
                    </a:stretch>
                  </pic:blipFill>
                  <pic:spPr bwMode="auto">
                    <a:xfrm>
                      <a:off x="0" y="0"/>
                      <a:ext cx="5393690" cy="7633970"/>
                    </a:xfrm>
                    <a:prstGeom prst="rect">
                      <a:avLst/>
                    </a:prstGeom>
                    <a:noFill/>
                    <a:ln w="9525">
                      <a:noFill/>
                      <a:miter lim="800000"/>
                      <a:headEnd/>
                      <a:tailEnd/>
                    </a:ln>
                  </pic:spPr>
                </pic:pic>
              </a:graphicData>
            </a:graphic>
          </wp:inline>
        </w:drawing>
      </w:r>
      <w:r>
        <w:rPr>
          <w:rFonts w:cstheme="minorHAnsi"/>
          <w:b/>
          <w:bCs/>
          <w:noProof/>
          <w:sz w:val="24"/>
          <w:szCs w:val="24"/>
          <w:lang w:eastAsia="es-ES"/>
        </w:rPr>
        <w:lastRenderedPageBreak/>
        <w:drawing>
          <wp:inline distT="0" distB="0" distL="0" distR="0" wp14:anchorId="431284C0" wp14:editId="387B9FBA">
            <wp:extent cx="5393690" cy="7633970"/>
            <wp:effectExtent l="1905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0" cstate="print"/>
                    <a:srcRect/>
                    <a:stretch>
                      <a:fillRect/>
                    </a:stretch>
                  </pic:blipFill>
                  <pic:spPr bwMode="auto">
                    <a:xfrm>
                      <a:off x="0" y="0"/>
                      <a:ext cx="5393690" cy="7633970"/>
                    </a:xfrm>
                    <a:prstGeom prst="rect">
                      <a:avLst/>
                    </a:prstGeom>
                    <a:noFill/>
                    <a:ln w="9525">
                      <a:noFill/>
                      <a:miter lim="800000"/>
                      <a:headEnd/>
                      <a:tailEnd/>
                    </a:ln>
                  </pic:spPr>
                </pic:pic>
              </a:graphicData>
            </a:graphic>
          </wp:inline>
        </w:drawing>
      </w:r>
      <w:r>
        <w:rPr>
          <w:rFonts w:cstheme="minorHAnsi"/>
          <w:b/>
          <w:bCs/>
          <w:noProof/>
          <w:sz w:val="24"/>
          <w:szCs w:val="24"/>
          <w:lang w:eastAsia="es-ES"/>
        </w:rPr>
        <w:lastRenderedPageBreak/>
        <w:drawing>
          <wp:inline distT="0" distB="0" distL="0" distR="0" wp14:anchorId="79AB8493" wp14:editId="4409EBB8">
            <wp:extent cx="5393690" cy="7633970"/>
            <wp:effectExtent l="1905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1" cstate="print"/>
                    <a:srcRect/>
                    <a:stretch>
                      <a:fillRect/>
                    </a:stretch>
                  </pic:blipFill>
                  <pic:spPr bwMode="auto">
                    <a:xfrm>
                      <a:off x="0" y="0"/>
                      <a:ext cx="5393690" cy="7633970"/>
                    </a:xfrm>
                    <a:prstGeom prst="rect">
                      <a:avLst/>
                    </a:prstGeom>
                    <a:noFill/>
                    <a:ln w="9525">
                      <a:noFill/>
                      <a:miter lim="800000"/>
                      <a:headEnd/>
                      <a:tailEnd/>
                    </a:ln>
                  </pic:spPr>
                </pic:pic>
              </a:graphicData>
            </a:graphic>
          </wp:inline>
        </w:drawing>
      </w:r>
      <w:r>
        <w:rPr>
          <w:rFonts w:cstheme="minorHAnsi"/>
          <w:b/>
          <w:bCs/>
          <w:noProof/>
          <w:sz w:val="24"/>
          <w:szCs w:val="24"/>
          <w:lang w:eastAsia="es-ES"/>
        </w:rPr>
        <w:lastRenderedPageBreak/>
        <w:drawing>
          <wp:inline distT="0" distB="0" distL="0" distR="0" wp14:anchorId="4BA4D679" wp14:editId="0DC4B7A0">
            <wp:extent cx="5393690" cy="7633970"/>
            <wp:effectExtent l="1905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2" cstate="print"/>
                    <a:srcRect/>
                    <a:stretch>
                      <a:fillRect/>
                    </a:stretch>
                  </pic:blipFill>
                  <pic:spPr bwMode="auto">
                    <a:xfrm>
                      <a:off x="0" y="0"/>
                      <a:ext cx="5393690" cy="7633970"/>
                    </a:xfrm>
                    <a:prstGeom prst="rect">
                      <a:avLst/>
                    </a:prstGeom>
                    <a:noFill/>
                    <a:ln w="9525">
                      <a:noFill/>
                      <a:miter lim="800000"/>
                      <a:headEnd/>
                      <a:tailEnd/>
                    </a:ln>
                  </pic:spPr>
                </pic:pic>
              </a:graphicData>
            </a:graphic>
          </wp:inline>
        </w:drawing>
      </w:r>
      <w:r>
        <w:rPr>
          <w:rFonts w:cstheme="minorHAnsi"/>
          <w:b/>
          <w:bCs/>
          <w:noProof/>
          <w:sz w:val="24"/>
          <w:szCs w:val="24"/>
          <w:lang w:eastAsia="es-ES"/>
        </w:rPr>
        <w:lastRenderedPageBreak/>
        <w:drawing>
          <wp:inline distT="0" distB="0" distL="0" distR="0" wp14:anchorId="4EC53C88" wp14:editId="7F818D43">
            <wp:extent cx="5393690" cy="7633970"/>
            <wp:effectExtent l="1905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3" cstate="print"/>
                    <a:srcRect/>
                    <a:stretch>
                      <a:fillRect/>
                    </a:stretch>
                  </pic:blipFill>
                  <pic:spPr bwMode="auto">
                    <a:xfrm>
                      <a:off x="0" y="0"/>
                      <a:ext cx="5393690" cy="7633970"/>
                    </a:xfrm>
                    <a:prstGeom prst="rect">
                      <a:avLst/>
                    </a:prstGeom>
                    <a:noFill/>
                    <a:ln w="9525">
                      <a:noFill/>
                      <a:miter lim="800000"/>
                      <a:headEnd/>
                      <a:tailEnd/>
                    </a:ln>
                  </pic:spPr>
                </pic:pic>
              </a:graphicData>
            </a:graphic>
          </wp:inline>
        </w:drawing>
      </w:r>
      <w:r>
        <w:rPr>
          <w:rFonts w:cstheme="minorHAnsi"/>
          <w:b/>
          <w:bCs/>
          <w:noProof/>
          <w:sz w:val="24"/>
          <w:szCs w:val="24"/>
          <w:lang w:eastAsia="es-ES"/>
        </w:rPr>
        <w:lastRenderedPageBreak/>
        <w:drawing>
          <wp:inline distT="0" distB="0" distL="0" distR="0" wp14:anchorId="1FAB26B5" wp14:editId="03F8AC9F">
            <wp:extent cx="5393690" cy="7633970"/>
            <wp:effectExtent l="1905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4" cstate="print"/>
                    <a:srcRect/>
                    <a:stretch>
                      <a:fillRect/>
                    </a:stretch>
                  </pic:blipFill>
                  <pic:spPr bwMode="auto">
                    <a:xfrm>
                      <a:off x="0" y="0"/>
                      <a:ext cx="5393690" cy="7633970"/>
                    </a:xfrm>
                    <a:prstGeom prst="rect">
                      <a:avLst/>
                    </a:prstGeom>
                    <a:noFill/>
                    <a:ln w="9525">
                      <a:noFill/>
                      <a:miter lim="800000"/>
                      <a:headEnd/>
                      <a:tailEnd/>
                    </a:ln>
                  </pic:spPr>
                </pic:pic>
              </a:graphicData>
            </a:graphic>
          </wp:inline>
        </w:drawing>
      </w:r>
      <w:r>
        <w:rPr>
          <w:rFonts w:cstheme="minorHAnsi"/>
          <w:b/>
          <w:bCs/>
          <w:noProof/>
          <w:sz w:val="24"/>
          <w:szCs w:val="24"/>
          <w:lang w:eastAsia="es-ES"/>
        </w:rPr>
        <w:lastRenderedPageBreak/>
        <w:drawing>
          <wp:inline distT="0" distB="0" distL="0" distR="0" wp14:anchorId="76031272" wp14:editId="6EE79294">
            <wp:extent cx="5393690" cy="7633970"/>
            <wp:effectExtent l="1905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5" cstate="print"/>
                    <a:srcRect/>
                    <a:stretch>
                      <a:fillRect/>
                    </a:stretch>
                  </pic:blipFill>
                  <pic:spPr bwMode="auto">
                    <a:xfrm>
                      <a:off x="0" y="0"/>
                      <a:ext cx="5393690" cy="7633970"/>
                    </a:xfrm>
                    <a:prstGeom prst="rect">
                      <a:avLst/>
                    </a:prstGeom>
                    <a:noFill/>
                    <a:ln w="9525">
                      <a:noFill/>
                      <a:miter lim="800000"/>
                      <a:headEnd/>
                      <a:tailEnd/>
                    </a:ln>
                  </pic:spPr>
                </pic:pic>
              </a:graphicData>
            </a:graphic>
          </wp:inline>
        </w:drawing>
      </w:r>
      <w:r>
        <w:rPr>
          <w:rFonts w:cstheme="minorHAnsi"/>
          <w:b/>
          <w:bCs/>
          <w:noProof/>
          <w:sz w:val="24"/>
          <w:szCs w:val="24"/>
          <w:lang w:eastAsia="es-ES"/>
        </w:rPr>
        <w:lastRenderedPageBreak/>
        <w:drawing>
          <wp:inline distT="0" distB="0" distL="0" distR="0" wp14:anchorId="44EF18A6" wp14:editId="23916CE7">
            <wp:extent cx="5393690" cy="7633970"/>
            <wp:effectExtent l="1905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6" cstate="print"/>
                    <a:srcRect/>
                    <a:stretch>
                      <a:fillRect/>
                    </a:stretch>
                  </pic:blipFill>
                  <pic:spPr bwMode="auto">
                    <a:xfrm>
                      <a:off x="0" y="0"/>
                      <a:ext cx="5393690" cy="7633970"/>
                    </a:xfrm>
                    <a:prstGeom prst="rect">
                      <a:avLst/>
                    </a:prstGeom>
                    <a:noFill/>
                    <a:ln w="9525">
                      <a:noFill/>
                      <a:miter lim="800000"/>
                      <a:headEnd/>
                      <a:tailEnd/>
                    </a:ln>
                  </pic:spPr>
                </pic:pic>
              </a:graphicData>
            </a:graphic>
          </wp:inline>
        </w:drawing>
      </w:r>
    </w:p>
    <w:p w14:paraId="0E25E59D" w14:textId="77777777" w:rsidR="003234B6" w:rsidRPr="00501ECF" w:rsidRDefault="003234B6" w:rsidP="006F71EC">
      <w:pPr>
        <w:spacing w:before="120" w:after="0" w:line="240" w:lineRule="auto"/>
        <w:jc w:val="both"/>
        <w:rPr>
          <w:rFonts w:cs="Arial"/>
          <w:color w:val="000000"/>
          <w:sz w:val="24"/>
          <w:szCs w:val="24"/>
        </w:rPr>
      </w:pPr>
    </w:p>
    <w:sectPr w:rsidR="003234B6" w:rsidRPr="00501ECF" w:rsidSect="000E657C">
      <w:footerReference w:type="default" r:id="rId137"/>
      <w:type w:val="continuous"/>
      <w:pgSz w:w="11906" w:h="16838"/>
      <w:pgMar w:top="1135" w:right="1700" w:bottom="1417" w:left="1134" w:header="708" w:footer="708" w:gutter="0"/>
      <w:cols w:space="708"/>
      <w:rtlGutter/>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475" w:author="IEM" w:date="2023-04-16T03:49:00Z" w:initials="I">
    <w:p w14:paraId="51F2EBF1" w14:textId="77777777" w:rsidR="00D06ADA" w:rsidRDefault="00D06ADA" w:rsidP="00D62200">
      <w:pPr>
        <w:pStyle w:val="Textocomentario"/>
      </w:pPr>
      <w:r>
        <w:rPr>
          <w:rStyle w:val="Refdecomentario"/>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51F2EBF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1F2EBF1" w16cid:durableId="27E7C90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7DE3B67" w14:textId="77777777" w:rsidR="0017543F" w:rsidRDefault="0017543F" w:rsidP="008672B7">
      <w:pPr>
        <w:spacing w:after="0" w:line="240" w:lineRule="auto"/>
      </w:pPr>
      <w:r>
        <w:separator/>
      </w:r>
    </w:p>
  </w:endnote>
  <w:endnote w:type="continuationSeparator" w:id="0">
    <w:p w14:paraId="5F1B613C" w14:textId="77777777" w:rsidR="0017543F" w:rsidRDefault="0017543F" w:rsidP="008672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OpenSymbol">
    <w:altName w:val="Segoe UI Symbol"/>
    <w:panose1 w:val="020B0604020202020204"/>
    <w:charset w:val="02"/>
    <w:family w:val="auto"/>
    <w:pitch w:val="default"/>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OpenSymbol, 'Arial Unicode MS'">
    <w:altName w:val="Calibri"/>
    <w:panose1 w:val="020B0604020202020204"/>
    <w:charset w:val="00"/>
    <w:family w:val="auto"/>
    <w:pitch w:val="default"/>
  </w:font>
  <w:font w:name="Cambria">
    <w:panose1 w:val="02040503050406030204"/>
    <w:charset w:val="00"/>
    <w:family w:val="roman"/>
    <w:pitch w:val="variable"/>
    <w:sig w:usb0="E00006FF" w:usb1="420024FF" w:usb2="02000000" w:usb3="00000000" w:csb0="0000019F" w:csb1="00000000"/>
  </w:font>
  <w:font w:name="Liberation Sans">
    <w:altName w:val="Times New Roman"/>
    <w:panose1 w:val="020B0604020202020204"/>
    <w:charset w:val="00"/>
    <w:family w:val="swiss"/>
    <w:pitch w:val="variable"/>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ArialMT">
    <w:altName w:val="MS Gothic"/>
    <w:panose1 w:val="020B0604020202020204"/>
    <w:charset w:val="80"/>
    <w:family w:val="auto"/>
    <w:notTrueType/>
    <w:pitch w:val="default"/>
    <w:sig w:usb0="00000003" w:usb1="08070000" w:usb2="00000010" w:usb3="00000000" w:csb0="00020001" w:csb1="00000000"/>
  </w:font>
  <w:font w:name="Arial-BoldMT">
    <w:panose1 w:val="020B0604020202020204"/>
    <w:charset w:val="00"/>
    <w:family w:val="roman"/>
    <w:pitch w:val="default"/>
    <w:sig w:usb0="00000003" w:usb1="00000000" w:usb2="00000000" w:usb3="00000000" w:csb0="00000001" w:csb1="00000000"/>
  </w:font>
  <w:font w:name="Andale Sans UI">
    <w:panose1 w:val="020B0604020202020204"/>
    <w:charset w:val="00"/>
    <w:family w:val="auto"/>
    <w:pitch w:val="variable"/>
  </w:font>
  <w:font w:name="Calibri-Italic">
    <w:panose1 w:val="020B0604020202020204"/>
    <w:charset w:val="00"/>
    <w:family w:val="auto"/>
    <w:notTrueType/>
    <w:pitch w:val="default"/>
    <w:sig w:usb0="00000003" w:usb1="00000000" w:usb2="00000000" w:usb3="00000000" w:csb0="00000001" w:csb1="00000000"/>
  </w:font>
  <w:font w:name="TrebuchetMS-Bold">
    <w:altName w:val="Calibri"/>
    <w:panose1 w:val="020B0703020202020204"/>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mo">
    <w:altName w:val="Calibri"/>
    <w:panose1 w:val="020B0604020202020204"/>
    <w:charset w:val="00"/>
    <w:family w:val="swiss"/>
    <w:notTrueType/>
    <w:pitch w:val="default"/>
    <w:sig w:usb0="00000003" w:usb1="00000000" w:usb2="00000000" w:usb3="00000000" w:csb0="00000001" w:csb1="00000000"/>
  </w:font>
  <w:font w:name="Calibri,Bold">
    <w:altName w:val="Calibri"/>
    <w:panose1 w:val="020B0604020202020204"/>
    <w:charset w:val="00"/>
    <w:family w:val="auto"/>
    <w:notTrueType/>
    <w:pitch w:val="default"/>
    <w:sig w:usb0="00000003" w:usb1="00000000" w:usb2="00000000" w:usb3="00000000" w:csb0="00000001" w:csb1="00000000"/>
  </w:font>
  <w:font w:name="Bodoni-Book">
    <w:panose1 w:val="020B0604020202020204"/>
    <w:charset w:val="00"/>
    <w:family w:val="roman"/>
    <w:notTrueType/>
    <w:pitch w:val="default"/>
    <w:sig w:usb0="00000003" w:usb1="00000000" w:usb2="00000000" w:usb3="00000000" w:csb0="00000001" w:csb1="00000000"/>
  </w:font>
  <w:font w:name="Bodoni-BookItalic">
    <w:panose1 w:val="020B0604020202020204"/>
    <w:charset w:val="00"/>
    <w:family w:val="roman"/>
    <w:notTrueType/>
    <w:pitch w:val="default"/>
    <w:sig w:usb0="00000003" w:usb1="00000000" w:usb2="00000000" w:usb3="00000000" w:csb0="00000001" w:csb1="00000000"/>
  </w:font>
  <w:font w:name="CIDFont+F2">
    <w:altName w:val="Calibri"/>
    <w:panose1 w:val="020B0604020202020204"/>
    <w:charset w:val="00"/>
    <w:family w:val="auto"/>
    <w:notTrueType/>
    <w:pitch w:val="default"/>
    <w:sig w:usb0="00000003" w:usb1="00000000" w:usb2="00000000" w:usb3="00000000" w:csb0="00000001" w:csb1="00000000"/>
  </w:font>
  <w:font w:name="CIDFont+F10">
    <w:altName w:val="Arial Unicode MS"/>
    <w:panose1 w:val="020B0604020202020204"/>
    <w:charset w:val="88"/>
    <w:family w:val="auto"/>
    <w:notTrueType/>
    <w:pitch w:val="default"/>
    <w:sig w:usb0="00000001" w:usb1="08080000" w:usb2="00000010" w:usb3="00000000" w:csb0="00100000" w:csb1="00000000"/>
  </w:font>
  <w:font w:name="MinionPro-Regular">
    <w:panose1 w:val="02040503050306020203"/>
    <w:charset w:val="00"/>
    <w:family w:val="roman"/>
    <w:pitch w:val="default"/>
  </w:font>
  <w:font w:name="MinionPro-It">
    <w:panose1 w:val="02040503050306090203"/>
    <w:charset w:val="00"/>
    <w:family w:val="roman"/>
    <w:pitch w:val="default"/>
  </w:font>
  <w:font w:name="Source Sans Pro">
    <w:altName w:val="﷽﷽﷽﷽﷽﷽﷽﷽w Roman"/>
    <w:panose1 w:val="020B0503030403020204"/>
    <w:charset w:val="00"/>
    <w:family w:val="swiss"/>
    <w:notTrueType/>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6DCAE8" w14:textId="2B783E4A" w:rsidR="00C87090" w:rsidRDefault="00C87090">
    <w:pPr>
      <w:pStyle w:val="Piedepgina"/>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Alegación P.E. Torroña I</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Páxina </w:t>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421DFA" w:rsidRPr="00421DFA">
      <w:rPr>
        <w:rFonts w:asciiTheme="majorHAnsi" w:eastAsiaTheme="majorEastAsia" w:hAnsiTheme="majorHAnsi" w:cstheme="majorBidi"/>
        <w:noProof/>
      </w:rPr>
      <w:t>5</w:t>
    </w:r>
    <w:r>
      <w:rPr>
        <w:rFonts w:asciiTheme="majorHAnsi" w:eastAsiaTheme="majorEastAsia" w:hAnsiTheme="majorHAnsi" w:cstheme="majorBidi"/>
      </w:rPr>
      <w:fldChar w:fldCharType="end"/>
    </w:r>
  </w:p>
  <w:p w14:paraId="50323A43" w14:textId="77777777" w:rsidR="0064038C" w:rsidRDefault="0064038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8733D6" w14:textId="55D3D1AE" w:rsidR="00C87090" w:rsidRDefault="00C87090">
    <w:pPr>
      <w:pStyle w:val="Piedepgina"/>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Alegación P.E. Torroña I</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Páxina </w:t>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421DFA" w:rsidRPr="00421DFA">
      <w:rPr>
        <w:rFonts w:asciiTheme="majorHAnsi" w:eastAsiaTheme="majorEastAsia" w:hAnsiTheme="majorHAnsi" w:cstheme="majorBidi"/>
        <w:noProof/>
      </w:rPr>
      <w:t>121</w:t>
    </w:r>
    <w:r>
      <w:rPr>
        <w:rFonts w:asciiTheme="majorHAnsi" w:eastAsiaTheme="majorEastAsia" w:hAnsiTheme="majorHAnsi" w:cstheme="majorBidi"/>
      </w:rPr>
      <w:fldChar w:fldCharType="end"/>
    </w:r>
  </w:p>
  <w:p w14:paraId="3E6A3CC4" w14:textId="77777777" w:rsidR="00D06ADA" w:rsidRDefault="00D06AD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BF22C86" w14:textId="77777777" w:rsidR="0017543F" w:rsidRDefault="0017543F" w:rsidP="008672B7">
      <w:pPr>
        <w:spacing w:after="0" w:line="240" w:lineRule="auto"/>
      </w:pPr>
      <w:r>
        <w:separator/>
      </w:r>
    </w:p>
  </w:footnote>
  <w:footnote w:type="continuationSeparator" w:id="0">
    <w:p w14:paraId="0773945B" w14:textId="77777777" w:rsidR="0017543F" w:rsidRDefault="0017543F" w:rsidP="008672B7">
      <w:pPr>
        <w:spacing w:after="0" w:line="240" w:lineRule="auto"/>
      </w:pPr>
      <w:r>
        <w:continuationSeparator/>
      </w:r>
    </w:p>
  </w:footnote>
  <w:footnote w:id="1">
    <w:p w14:paraId="573FE9F5" w14:textId="64DD803E" w:rsidR="00D06ADA" w:rsidRPr="001A644A" w:rsidRDefault="00D06ADA">
      <w:pPr>
        <w:pStyle w:val="Textonotapie"/>
        <w:rPr>
          <w:sz w:val="16"/>
          <w:szCs w:val="16"/>
        </w:rPr>
      </w:pPr>
      <w:r w:rsidRPr="001A644A">
        <w:rPr>
          <w:rStyle w:val="Refdenotaalpie"/>
          <w:sz w:val="16"/>
          <w:szCs w:val="16"/>
        </w:rPr>
        <w:footnoteRef/>
      </w:r>
      <w:r w:rsidRPr="001A644A">
        <w:rPr>
          <w:sz w:val="16"/>
          <w:szCs w:val="16"/>
        </w:rPr>
        <w:t xml:space="preserve"> </w:t>
      </w:r>
      <w:hyperlink r:id="rId1" w:history="1">
        <w:r w:rsidRPr="00FE5FD7">
          <w:rPr>
            <w:rStyle w:val="Hipervnculo"/>
            <w:sz w:val="16"/>
            <w:szCs w:val="16"/>
          </w:rPr>
          <w:t>https://cincodias.elpais.com/cincodias/2022/01/10/lifestyle/1641792708_835348.html</w:t>
        </w:r>
      </w:hyperlink>
    </w:p>
  </w:footnote>
  <w:footnote w:id="2">
    <w:p w14:paraId="15602B23" w14:textId="25639B4F" w:rsidR="00D06ADA" w:rsidRPr="001A644A" w:rsidRDefault="00D06ADA">
      <w:pPr>
        <w:pStyle w:val="Textonotapie"/>
        <w:rPr>
          <w:sz w:val="16"/>
          <w:szCs w:val="16"/>
        </w:rPr>
      </w:pPr>
      <w:r w:rsidRPr="001A644A">
        <w:rPr>
          <w:rStyle w:val="Refdenotaalpie"/>
          <w:sz w:val="16"/>
          <w:szCs w:val="16"/>
        </w:rPr>
        <w:footnoteRef/>
      </w:r>
      <w:r w:rsidRPr="001A644A">
        <w:rPr>
          <w:sz w:val="16"/>
          <w:szCs w:val="16"/>
        </w:rPr>
        <w:t xml:space="preserve"> </w:t>
      </w:r>
      <w:hyperlink r:id="rId2" w:history="1">
        <w:r w:rsidRPr="00FE5FD7">
          <w:rPr>
            <w:rStyle w:val="Hipervnculo"/>
            <w:sz w:val="16"/>
            <w:szCs w:val="16"/>
          </w:rPr>
          <w:t>https://www.xataka.com/basics/fin-soporte-flash-player-que-significa-que-pasa-a-partir-ahora</w:t>
        </w:r>
      </w:hyperlink>
    </w:p>
  </w:footnote>
  <w:footnote w:id="3">
    <w:p w14:paraId="485B9A33" w14:textId="7D377E60" w:rsidR="00D06ADA" w:rsidRPr="001A644A" w:rsidRDefault="00D06ADA">
      <w:pPr>
        <w:pStyle w:val="Textonotapie"/>
        <w:rPr>
          <w:sz w:val="16"/>
          <w:szCs w:val="16"/>
        </w:rPr>
      </w:pPr>
      <w:r w:rsidRPr="001A644A">
        <w:rPr>
          <w:rStyle w:val="Refdenotaalpie"/>
          <w:sz w:val="16"/>
          <w:szCs w:val="16"/>
        </w:rPr>
        <w:footnoteRef/>
      </w:r>
      <w:r w:rsidRPr="001A644A">
        <w:rPr>
          <w:sz w:val="16"/>
          <w:szCs w:val="16"/>
        </w:rPr>
        <w:t xml:space="preserve"> </w:t>
      </w:r>
      <w:hyperlink r:id="rId3" w:history="1">
        <w:r w:rsidRPr="00FE5FD7">
          <w:rPr>
            <w:rStyle w:val="Hipervnculo"/>
            <w:sz w:val="16"/>
            <w:szCs w:val="16"/>
          </w:rPr>
          <w:t>https://www.kaspersky.es/blog/adobe-flash-40th-day-after/24747/</w:t>
        </w:r>
      </w:hyperlink>
    </w:p>
  </w:footnote>
  <w:footnote w:id="4">
    <w:p w14:paraId="70EB41B5" w14:textId="77777777" w:rsidR="00D06ADA" w:rsidRPr="002C36BC" w:rsidRDefault="00D06ADA" w:rsidP="009211D9">
      <w:pPr>
        <w:pStyle w:val="Textonotapie"/>
        <w:rPr>
          <w:sz w:val="16"/>
          <w:szCs w:val="16"/>
        </w:rPr>
      </w:pPr>
      <w:r w:rsidRPr="002C36BC">
        <w:rPr>
          <w:rStyle w:val="Refdenotaalpie"/>
          <w:sz w:val="16"/>
          <w:szCs w:val="16"/>
        </w:rPr>
        <w:footnoteRef/>
      </w:r>
      <w:r w:rsidRPr="002C36BC">
        <w:rPr>
          <w:sz w:val="16"/>
          <w:szCs w:val="16"/>
        </w:rPr>
        <w:t xml:space="preserve"> </w:t>
      </w:r>
      <w:hyperlink r:id="rId4" w:history="1">
        <w:r w:rsidRPr="002C36BC">
          <w:rPr>
            <w:rStyle w:val="Hipervnculo"/>
            <w:sz w:val="16"/>
            <w:szCs w:val="16"/>
          </w:rPr>
          <w:t>https://www.boe.es/doue/2009/140/L00016-00062.pdf</w:t>
        </w:r>
      </w:hyperlink>
    </w:p>
  </w:footnote>
  <w:footnote w:id="5">
    <w:p w14:paraId="0C44B94A" w14:textId="77777777" w:rsidR="00D06ADA" w:rsidRDefault="00D06ADA" w:rsidP="009211D9">
      <w:pPr>
        <w:pStyle w:val="Textonotapie"/>
      </w:pPr>
      <w:r w:rsidRPr="002C36BC">
        <w:rPr>
          <w:rStyle w:val="Refdenotaalpie"/>
          <w:sz w:val="16"/>
          <w:szCs w:val="16"/>
        </w:rPr>
        <w:footnoteRef/>
      </w:r>
      <w:r w:rsidRPr="002C36BC">
        <w:rPr>
          <w:sz w:val="16"/>
          <w:szCs w:val="16"/>
        </w:rPr>
        <w:t xml:space="preserve"> </w:t>
      </w:r>
      <w:hyperlink r:id="rId5" w:history="1">
        <w:r w:rsidRPr="002C36BC">
          <w:rPr>
            <w:rStyle w:val="Hipervnculo"/>
            <w:sz w:val="16"/>
            <w:szCs w:val="16"/>
          </w:rPr>
          <w:t>https://www.boe.es/doue/2018/328/L00082-00209.pdf</w:t>
        </w:r>
      </w:hyperlink>
    </w:p>
  </w:footnote>
  <w:footnote w:id="6">
    <w:p w14:paraId="4384FB03" w14:textId="77777777" w:rsidR="00D06ADA" w:rsidRDefault="00D06ADA" w:rsidP="009211D9">
      <w:pPr>
        <w:pStyle w:val="Textonotapie"/>
      </w:pPr>
      <w:r>
        <w:rPr>
          <w:rStyle w:val="Refdenotaalpie"/>
        </w:rPr>
        <w:footnoteRef/>
      </w:r>
      <w:r>
        <w:t xml:space="preserve"> </w:t>
      </w:r>
      <w:hyperlink r:id="rId6" w:history="1">
        <w:r w:rsidRPr="00F51C80">
          <w:rPr>
            <w:rStyle w:val="Hipervnculo"/>
          </w:rPr>
          <w:t>https://www.ree.es/es/datos/publicaciones/informe-anual-sistema</w:t>
        </w:r>
      </w:hyperlink>
    </w:p>
  </w:footnote>
  <w:footnote w:id="7">
    <w:p w14:paraId="4F1E0BA6" w14:textId="4EB1AC1B" w:rsidR="00D06ADA" w:rsidRPr="00514E9D" w:rsidRDefault="00D06ADA">
      <w:pPr>
        <w:pStyle w:val="Textonotapie"/>
        <w:rPr>
          <w:sz w:val="16"/>
          <w:szCs w:val="16"/>
        </w:rPr>
      </w:pPr>
      <w:r w:rsidRPr="00514E9D">
        <w:rPr>
          <w:rStyle w:val="Refdenotaalpie"/>
          <w:sz w:val="16"/>
          <w:szCs w:val="16"/>
        </w:rPr>
        <w:footnoteRef/>
      </w:r>
      <w:r w:rsidRPr="00514E9D">
        <w:rPr>
          <w:sz w:val="16"/>
          <w:szCs w:val="16"/>
        </w:rPr>
        <w:t xml:space="preserve"> </w:t>
      </w:r>
      <w:hyperlink r:id="rId7" w:history="1">
        <w:r w:rsidRPr="00C669CB">
          <w:rPr>
            <w:rStyle w:val="Hipervnculo"/>
            <w:sz w:val="16"/>
            <w:szCs w:val="16"/>
          </w:rPr>
          <w:t>https://www.miteco.gob.es/es/prensa/pniec.aspx</w:t>
        </w:r>
      </w:hyperlink>
    </w:p>
  </w:footnote>
  <w:footnote w:id="8">
    <w:p w14:paraId="411479C7" w14:textId="4990A002" w:rsidR="00D06ADA" w:rsidRPr="00892744" w:rsidRDefault="00D06ADA">
      <w:pPr>
        <w:pStyle w:val="Textonotapie"/>
        <w:rPr>
          <w:sz w:val="16"/>
          <w:szCs w:val="16"/>
        </w:rPr>
      </w:pPr>
      <w:r w:rsidRPr="00892744">
        <w:rPr>
          <w:rStyle w:val="Refdenotaalpie"/>
          <w:sz w:val="16"/>
          <w:szCs w:val="16"/>
        </w:rPr>
        <w:footnoteRef/>
      </w:r>
      <w:r w:rsidRPr="00892744">
        <w:rPr>
          <w:sz w:val="16"/>
          <w:szCs w:val="16"/>
        </w:rPr>
        <w:t xml:space="preserve"> </w:t>
      </w:r>
      <w:hyperlink r:id="rId8" w:history="1">
        <w:r w:rsidRPr="00234F86">
          <w:rPr>
            <w:rStyle w:val="Hipervnculo"/>
            <w:sz w:val="16"/>
            <w:szCs w:val="16"/>
          </w:rPr>
          <w:t>https://www.ree.es/es/clientes/datos-acumulados-generacion-renovable</w:t>
        </w:r>
      </w:hyperlink>
    </w:p>
  </w:footnote>
  <w:footnote w:id="9">
    <w:p w14:paraId="215DD726" w14:textId="77777777" w:rsidR="00D06ADA" w:rsidRDefault="00D06ADA" w:rsidP="00AF0805">
      <w:pPr>
        <w:autoSpaceDE w:val="0"/>
        <w:autoSpaceDN w:val="0"/>
        <w:adjustRightInd w:val="0"/>
        <w:spacing w:after="0" w:line="240" w:lineRule="auto"/>
        <w:jc w:val="both"/>
      </w:pPr>
      <w:r w:rsidRPr="001B6818">
        <w:rPr>
          <w:rStyle w:val="Refdenotaalpie"/>
          <w:rFonts w:cstheme="minorHAnsi"/>
          <w:sz w:val="16"/>
          <w:szCs w:val="16"/>
        </w:rPr>
        <w:footnoteRef/>
      </w:r>
      <w:r w:rsidRPr="001B6818">
        <w:rPr>
          <w:rFonts w:cstheme="minorHAnsi"/>
          <w:sz w:val="16"/>
          <w:szCs w:val="16"/>
        </w:rPr>
        <w:t xml:space="preserve"> </w:t>
      </w:r>
      <w:hyperlink r:id="rId9" w:history="1">
        <w:r w:rsidRPr="001B6818">
          <w:rPr>
            <w:rStyle w:val="Hipervnculo"/>
            <w:rFonts w:cstheme="minorHAnsi"/>
            <w:sz w:val="16"/>
            <w:szCs w:val="16"/>
            <w:shd w:val="clear" w:color="auto" w:fill="FFFFFF"/>
          </w:rPr>
          <w:t>https://www.arcgis.com/apps/webappviewer/index.html?id=4bae3fad95b6439bacef9d1a316765e9</w:t>
        </w:r>
      </w:hyperlink>
    </w:p>
  </w:footnote>
  <w:footnote w:id="10">
    <w:p w14:paraId="1519959F" w14:textId="118DB3DB" w:rsidR="00D06ADA" w:rsidRPr="00722AE1" w:rsidRDefault="00D06ADA">
      <w:pPr>
        <w:pStyle w:val="Textonotapie"/>
        <w:rPr>
          <w:sz w:val="16"/>
          <w:szCs w:val="16"/>
        </w:rPr>
      </w:pPr>
      <w:r w:rsidRPr="00722AE1">
        <w:rPr>
          <w:rStyle w:val="Refdenotaalpie"/>
          <w:sz w:val="16"/>
          <w:szCs w:val="16"/>
        </w:rPr>
        <w:footnoteRef/>
      </w:r>
      <w:r w:rsidRPr="00722AE1">
        <w:rPr>
          <w:sz w:val="16"/>
          <w:szCs w:val="16"/>
        </w:rPr>
        <w:t xml:space="preserve"> </w:t>
      </w:r>
      <w:hyperlink r:id="rId10" w:history="1">
        <w:r w:rsidRPr="00D96FCF">
          <w:rPr>
            <w:rStyle w:val="Hipervnculo"/>
            <w:sz w:val="16"/>
            <w:szCs w:val="16"/>
          </w:rPr>
          <w:t>https://www.xunta.gal/dog/Publicados/1997/19971215/AnuncioF8FA_gl.html</w:t>
        </w:r>
      </w:hyperlink>
    </w:p>
  </w:footnote>
  <w:footnote w:id="11">
    <w:p w14:paraId="6E30AF96" w14:textId="5CCCF711" w:rsidR="00D06ADA" w:rsidRPr="00722AE1" w:rsidRDefault="00D06ADA">
      <w:pPr>
        <w:pStyle w:val="Textonotapie"/>
        <w:rPr>
          <w:sz w:val="16"/>
          <w:szCs w:val="16"/>
        </w:rPr>
      </w:pPr>
      <w:r w:rsidRPr="00722AE1">
        <w:rPr>
          <w:rStyle w:val="Refdenotaalpie"/>
          <w:sz w:val="16"/>
          <w:szCs w:val="16"/>
        </w:rPr>
        <w:footnoteRef/>
      </w:r>
      <w:r w:rsidRPr="00722AE1">
        <w:rPr>
          <w:sz w:val="16"/>
          <w:szCs w:val="16"/>
        </w:rPr>
        <w:t xml:space="preserve"> </w:t>
      </w:r>
      <w:hyperlink r:id="rId11" w:history="1">
        <w:r w:rsidRPr="00D96FCF">
          <w:rPr>
            <w:rStyle w:val="Hipervnculo"/>
            <w:sz w:val="16"/>
            <w:szCs w:val="16"/>
          </w:rPr>
          <w:t>https://eur-lex.europa.eu/legal-content/ES/TXT/PDF/?uri=CELEX:31985L0337&amp;from=ES</w:t>
        </w:r>
      </w:hyperlink>
    </w:p>
  </w:footnote>
  <w:footnote w:id="12">
    <w:p w14:paraId="77230907" w14:textId="161E3B58" w:rsidR="00D06ADA" w:rsidRPr="00722AE1" w:rsidRDefault="00D06ADA">
      <w:pPr>
        <w:pStyle w:val="Textonotapie"/>
        <w:rPr>
          <w:sz w:val="16"/>
          <w:szCs w:val="16"/>
        </w:rPr>
      </w:pPr>
      <w:r w:rsidRPr="00722AE1">
        <w:rPr>
          <w:rStyle w:val="Refdenotaalpie"/>
          <w:sz w:val="16"/>
          <w:szCs w:val="16"/>
        </w:rPr>
        <w:footnoteRef/>
      </w:r>
      <w:r w:rsidRPr="00722AE1">
        <w:rPr>
          <w:sz w:val="16"/>
          <w:szCs w:val="16"/>
        </w:rPr>
        <w:t xml:space="preserve"> </w:t>
      </w:r>
      <w:hyperlink r:id="rId12" w:history="1">
        <w:r w:rsidRPr="00D96FCF">
          <w:rPr>
            <w:rStyle w:val="Hipervnculo"/>
            <w:sz w:val="16"/>
            <w:szCs w:val="16"/>
          </w:rPr>
          <w:t>https://www.boe.es/boe/dias/1986/06/30/pdfs/A23733-23735.pdf</w:t>
        </w:r>
      </w:hyperlink>
    </w:p>
  </w:footnote>
  <w:footnote w:id="13">
    <w:p w14:paraId="67406CFD" w14:textId="2DA204EC" w:rsidR="00D06ADA" w:rsidRPr="00722AE1" w:rsidRDefault="00D06ADA">
      <w:pPr>
        <w:pStyle w:val="Textonotapie"/>
        <w:rPr>
          <w:sz w:val="16"/>
          <w:szCs w:val="16"/>
        </w:rPr>
      </w:pPr>
      <w:r w:rsidRPr="00722AE1">
        <w:rPr>
          <w:rStyle w:val="Refdenotaalpie"/>
          <w:sz w:val="16"/>
          <w:szCs w:val="16"/>
        </w:rPr>
        <w:footnoteRef/>
      </w:r>
      <w:r w:rsidRPr="00722AE1">
        <w:rPr>
          <w:sz w:val="16"/>
          <w:szCs w:val="16"/>
        </w:rPr>
        <w:t xml:space="preserve"> </w:t>
      </w:r>
      <w:hyperlink r:id="rId13" w:history="1">
        <w:r w:rsidRPr="00D96FCF">
          <w:rPr>
            <w:rStyle w:val="Hipervnculo"/>
            <w:sz w:val="16"/>
            <w:szCs w:val="16"/>
          </w:rPr>
          <w:t>https://www.boe.es/boe/dias/1988/10/05/pdfs/A28911-28916.pdf</w:t>
        </w:r>
      </w:hyperlink>
    </w:p>
  </w:footnote>
  <w:footnote w:id="14">
    <w:p w14:paraId="02AC53E3" w14:textId="281ACD56" w:rsidR="00D06ADA" w:rsidRPr="0084348B" w:rsidRDefault="00D06ADA">
      <w:pPr>
        <w:pStyle w:val="Textonotapie"/>
        <w:rPr>
          <w:sz w:val="16"/>
          <w:szCs w:val="16"/>
        </w:rPr>
      </w:pPr>
      <w:r w:rsidRPr="0084348B">
        <w:rPr>
          <w:rStyle w:val="Refdenotaalpie"/>
          <w:sz w:val="16"/>
          <w:szCs w:val="16"/>
        </w:rPr>
        <w:footnoteRef/>
      </w:r>
      <w:r w:rsidRPr="0084348B">
        <w:rPr>
          <w:sz w:val="16"/>
          <w:szCs w:val="16"/>
        </w:rPr>
        <w:t xml:space="preserve"> </w:t>
      </w:r>
      <w:hyperlink r:id="rId14" w:history="1">
        <w:r w:rsidRPr="00D96FCF">
          <w:rPr>
            <w:rStyle w:val="Hipervnculo"/>
            <w:sz w:val="16"/>
            <w:szCs w:val="16"/>
          </w:rPr>
          <w:t>https://www.xunta.gal/dog/Publicados/2003/20030103/AnuncioB56_gl.html</w:t>
        </w:r>
      </w:hyperlink>
    </w:p>
  </w:footnote>
  <w:footnote w:id="15">
    <w:p w14:paraId="37AFAD5E" w14:textId="699AB4C1" w:rsidR="00D06ADA" w:rsidRPr="009D1ABB" w:rsidRDefault="00D06ADA">
      <w:pPr>
        <w:pStyle w:val="Textonotapie"/>
        <w:rPr>
          <w:sz w:val="16"/>
          <w:szCs w:val="16"/>
        </w:rPr>
      </w:pPr>
      <w:r w:rsidRPr="009D1ABB">
        <w:rPr>
          <w:rStyle w:val="Refdenotaalpie"/>
          <w:sz w:val="16"/>
          <w:szCs w:val="16"/>
        </w:rPr>
        <w:footnoteRef/>
      </w:r>
      <w:r w:rsidRPr="009D1ABB">
        <w:rPr>
          <w:sz w:val="16"/>
          <w:szCs w:val="16"/>
        </w:rPr>
        <w:t xml:space="preserve"> </w:t>
      </w:r>
      <w:hyperlink r:id="rId15" w:history="1">
        <w:r w:rsidRPr="00537032">
          <w:rPr>
            <w:rStyle w:val="Hipervnculo"/>
            <w:sz w:val="16"/>
            <w:szCs w:val="16"/>
          </w:rPr>
          <w:t>https://www.boe.es/boe/dias/2001/05/09/pdfs/A16607-16616.pdf</w:t>
        </w:r>
      </w:hyperlink>
    </w:p>
  </w:footnote>
  <w:footnote w:id="16">
    <w:p w14:paraId="09B68BA1" w14:textId="77777777" w:rsidR="00D06ADA" w:rsidRPr="00307C94" w:rsidRDefault="00D06ADA" w:rsidP="00991A7C">
      <w:pPr>
        <w:pStyle w:val="Textonotapie"/>
        <w:rPr>
          <w:sz w:val="16"/>
          <w:szCs w:val="16"/>
        </w:rPr>
      </w:pPr>
      <w:r w:rsidRPr="00307C94">
        <w:rPr>
          <w:rStyle w:val="Refdenotaalpie"/>
          <w:sz w:val="16"/>
          <w:szCs w:val="16"/>
        </w:rPr>
        <w:footnoteRef/>
      </w:r>
      <w:r w:rsidRPr="00307C94">
        <w:rPr>
          <w:sz w:val="16"/>
          <w:szCs w:val="16"/>
        </w:rPr>
        <w:t xml:space="preserve"> </w:t>
      </w:r>
      <w:hyperlink r:id="rId16" w:history="1">
        <w:r w:rsidRPr="00BE4B54">
          <w:rPr>
            <w:rStyle w:val="Hipervnculo"/>
            <w:sz w:val="16"/>
            <w:szCs w:val="16"/>
          </w:rPr>
          <w:t>http://consellodacultura.gal/publicacion.php?id=4437</w:t>
        </w:r>
      </w:hyperlink>
    </w:p>
  </w:footnote>
  <w:footnote w:id="17">
    <w:p w14:paraId="3B174793" w14:textId="77777777" w:rsidR="00D06ADA" w:rsidRPr="00360F6A" w:rsidRDefault="00D06ADA" w:rsidP="00991A7C">
      <w:pPr>
        <w:pStyle w:val="Textonotapie"/>
        <w:rPr>
          <w:sz w:val="16"/>
          <w:szCs w:val="16"/>
        </w:rPr>
      </w:pPr>
      <w:r w:rsidRPr="00360F6A">
        <w:rPr>
          <w:rStyle w:val="Refdenotaalpie"/>
          <w:sz w:val="16"/>
          <w:szCs w:val="16"/>
        </w:rPr>
        <w:footnoteRef/>
      </w:r>
      <w:r w:rsidRPr="00360F6A">
        <w:rPr>
          <w:sz w:val="16"/>
          <w:szCs w:val="16"/>
        </w:rPr>
        <w:t xml:space="preserve"> </w:t>
      </w:r>
      <w:hyperlink r:id="rId17" w:history="1">
        <w:r w:rsidRPr="00C669CB">
          <w:rPr>
            <w:rStyle w:val="Hipervnculo"/>
            <w:sz w:val="16"/>
            <w:szCs w:val="16"/>
          </w:rPr>
          <w:t>https://www.boe.es/buscar/pdf/2021/BOE-A-2021-8447-consolidado.pdf</w:t>
        </w:r>
      </w:hyperlink>
    </w:p>
  </w:footnote>
  <w:footnote w:id="18">
    <w:p w14:paraId="76FB5555" w14:textId="46C186F4" w:rsidR="00D06ADA" w:rsidRPr="009115C4" w:rsidRDefault="00D06ADA">
      <w:pPr>
        <w:pStyle w:val="Textonotapie"/>
        <w:rPr>
          <w:sz w:val="16"/>
          <w:szCs w:val="16"/>
        </w:rPr>
      </w:pPr>
      <w:r w:rsidRPr="009115C4">
        <w:rPr>
          <w:rStyle w:val="Refdenotaalpie"/>
          <w:sz w:val="16"/>
          <w:szCs w:val="16"/>
        </w:rPr>
        <w:footnoteRef/>
      </w:r>
      <w:r w:rsidRPr="009115C4">
        <w:rPr>
          <w:sz w:val="16"/>
          <w:szCs w:val="16"/>
        </w:rPr>
        <w:t xml:space="preserve"> </w:t>
      </w:r>
      <w:hyperlink r:id="rId18" w:history="1">
        <w:r w:rsidRPr="009115C4">
          <w:rPr>
            <w:rStyle w:val="Hipervnculo"/>
            <w:sz w:val="16"/>
            <w:szCs w:val="16"/>
          </w:rPr>
          <w:t>https://www.laopinioncoruna.es/galicia/2013/08/28/llamas-oia-devastan-2-000-24856878.html</w:t>
        </w:r>
      </w:hyperlink>
      <w:r w:rsidRPr="009115C4">
        <w:rPr>
          <w:rStyle w:val="Hipervnculo"/>
          <w:sz w:val="16"/>
          <w:szCs w:val="16"/>
        </w:rPr>
        <w:t xml:space="preserve">  https://www.lavozdegalicia.es/noticia/vigo/2006/08/10/fuego-borra-sierra-groba-reserva-forestal-baiona-oia/0003_5013490.htm</w:t>
      </w:r>
    </w:p>
  </w:footnote>
  <w:footnote w:id="19">
    <w:p w14:paraId="6E82FAD5" w14:textId="31DDB231" w:rsidR="00D06ADA" w:rsidRPr="008F12C5" w:rsidRDefault="00D06ADA">
      <w:pPr>
        <w:pStyle w:val="Textonotapie"/>
        <w:rPr>
          <w:sz w:val="16"/>
          <w:szCs w:val="16"/>
        </w:rPr>
      </w:pPr>
      <w:r w:rsidRPr="008F12C5">
        <w:rPr>
          <w:rStyle w:val="Refdenotaalpie"/>
          <w:sz w:val="16"/>
          <w:szCs w:val="16"/>
        </w:rPr>
        <w:footnoteRef/>
      </w:r>
      <w:r w:rsidRPr="008F12C5">
        <w:rPr>
          <w:sz w:val="16"/>
          <w:szCs w:val="16"/>
        </w:rPr>
        <w:t xml:space="preserve"> </w:t>
      </w:r>
      <w:hyperlink r:id="rId19" w:history="1">
        <w:r w:rsidRPr="00D96FCF">
          <w:rPr>
            <w:rStyle w:val="Hipervnculo"/>
            <w:sz w:val="16"/>
            <w:szCs w:val="16"/>
          </w:rPr>
          <w:t>https://www.mitma.gob.es/recursos_mfom/pdf/B1EC4D87-7D64-465E-89AE-18C176AAFA38/73086/12002E_ES.pdf</w:t>
        </w:r>
      </w:hyperlink>
    </w:p>
  </w:footnote>
  <w:footnote w:id="20">
    <w:p w14:paraId="67FBFD39" w14:textId="492E59C2" w:rsidR="00D06ADA" w:rsidRPr="008F12C5" w:rsidRDefault="00D06ADA">
      <w:pPr>
        <w:pStyle w:val="Textonotapie"/>
        <w:rPr>
          <w:sz w:val="16"/>
          <w:szCs w:val="16"/>
        </w:rPr>
      </w:pPr>
      <w:r w:rsidRPr="008F12C5">
        <w:rPr>
          <w:rStyle w:val="Refdenotaalpie"/>
          <w:sz w:val="16"/>
          <w:szCs w:val="16"/>
        </w:rPr>
        <w:footnoteRef/>
      </w:r>
      <w:r w:rsidRPr="008F12C5">
        <w:rPr>
          <w:sz w:val="16"/>
          <w:szCs w:val="16"/>
        </w:rPr>
        <w:t xml:space="preserve"> </w:t>
      </w:r>
      <w:hyperlink r:id="rId20" w:history="1">
        <w:r w:rsidRPr="00D96FCF">
          <w:rPr>
            <w:rStyle w:val="Hipervnculo"/>
            <w:sz w:val="16"/>
            <w:szCs w:val="16"/>
          </w:rPr>
          <w:t>https://www.boe.es/doue/2010/083/Z00047-00199.pdf</w:t>
        </w:r>
      </w:hyperlink>
    </w:p>
  </w:footnote>
  <w:footnote w:id="21">
    <w:p w14:paraId="7E92821D" w14:textId="77777777" w:rsidR="00D06ADA" w:rsidRDefault="00D06ADA" w:rsidP="002C36BC">
      <w:pPr>
        <w:pStyle w:val="Textonotapie"/>
        <w:widowControl w:val="0"/>
        <w:ind w:left="142" w:hanging="142"/>
      </w:pPr>
      <w:r w:rsidRPr="008C7022">
        <w:rPr>
          <w:rStyle w:val="Refdenotaalpie"/>
          <w:sz w:val="16"/>
          <w:szCs w:val="16"/>
        </w:rPr>
        <w:footnoteRef/>
      </w:r>
      <w:r w:rsidRPr="008C7022">
        <w:rPr>
          <w:sz w:val="16"/>
          <w:szCs w:val="16"/>
        </w:rPr>
        <w:t xml:space="preserve"> </w:t>
      </w:r>
      <w:hyperlink r:id="rId21" w:history="1">
        <w:r w:rsidRPr="008C7022">
          <w:rPr>
            <w:rStyle w:val="Hipervnculo"/>
            <w:sz w:val="16"/>
            <w:szCs w:val="16"/>
          </w:rPr>
          <w:t>https://ec.europa.yo/commission/presscorner/detail/eres/INF_20_1212</w:t>
        </w:r>
      </w:hyperlink>
    </w:p>
  </w:footnote>
  <w:footnote w:id="22">
    <w:p w14:paraId="55968925" w14:textId="77777777" w:rsidR="00D06ADA" w:rsidRDefault="00D06ADA" w:rsidP="002C36BC">
      <w:pPr>
        <w:pStyle w:val="Textonotapie"/>
        <w:widowControl w:val="0"/>
        <w:ind w:left="142" w:hanging="142"/>
      </w:pPr>
      <w:r w:rsidRPr="001D4BF8">
        <w:rPr>
          <w:rStyle w:val="Refdenotaalpie"/>
          <w:sz w:val="16"/>
          <w:szCs w:val="16"/>
        </w:rPr>
        <w:footnoteRef/>
      </w:r>
      <w:r w:rsidRPr="001D4BF8">
        <w:rPr>
          <w:sz w:val="16"/>
          <w:szCs w:val="16"/>
        </w:rPr>
        <w:t xml:space="preserve"> </w:t>
      </w:r>
      <w:hyperlink r:id="rId22" w:history="1">
        <w:r w:rsidRPr="00120DE3">
          <w:rPr>
            <w:rStyle w:val="Hipervnculo"/>
            <w:sz w:val="16"/>
            <w:szCs w:val="16"/>
          </w:rPr>
          <w:t>https://www.diario.eco/insuficiente-proteccion-diere%20la-red-natura-2000/</w:t>
        </w:r>
      </w:hyperlink>
    </w:p>
  </w:footnote>
  <w:footnote w:id="23">
    <w:p w14:paraId="3C343A22" w14:textId="3DDC4FD3" w:rsidR="00D06ADA" w:rsidRDefault="00D06ADA" w:rsidP="006610CA">
      <w:pPr>
        <w:pStyle w:val="Textonotapie"/>
        <w:ind w:left="142" w:hanging="142"/>
      </w:pPr>
      <w:r w:rsidRPr="001D4BF8">
        <w:rPr>
          <w:rStyle w:val="Refdenotaalpie"/>
          <w:sz w:val="16"/>
          <w:szCs w:val="16"/>
        </w:rPr>
        <w:footnoteRef/>
      </w:r>
      <w:r w:rsidRPr="001D4BF8">
        <w:rPr>
          <w:sz w:val="16"/>
          <w:szCs w:val="16"/>
        </w:rPr>
        <w:t xml:space="preserve"> </w:t>
      </w:r>
      <w:hyperlink r:id="rId23" w:history="1">
        <w:r w:rsidRPr="00120DE3">
          <w:rPr>
            <w:rStyle w:val="Hipervnculo"/>
            <w:sz w:val="16"/>
            <w:szCs w:val="16"/>
          </w:rPr>
          <w:t>https://www.lavozdegalicia.es/noticia/sociedad/2015/05/11/europa-abre-expediente-espana-retrasos-red-natura-2000/0003_201505G11P26991.htm</w:t>
        </w:r>
      </w:hyperlink>
    </w:p>
  </w:footnote>
  <w:footnote w:id="24">
    <w:p w14:paraId="263B51E4" w14:textId="77777777" w:rsidR="00D06ADA" w:rsidRPr="004D2D6D" w:rsidRDefault="00D06ADA"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24" w:history="1">
        <w:r w:rsidRPr="004D2D6D">
          <w:rPr>
            <w:rStyle w:val="Hipervnculo"/>
            <w:sz w:val="16"/>
            <w:szCs w:val="16"/>
          </w:rPr>
          <w:t>https://www.lavozdegalicia.es/noticia/vigo/2007/10/07/plataforma-sos-groba-organiza-hoy-ruta-reivindicativa-sierra-baionesa/0003_6206572.htm</w:t>
        </w:r>
      </w:hyperlink>
    </w:p>
  </w:footnote>
  <w:footnote w:id="25">
    <w:p w14:paraId="2F027A8B" w14:textId="77777777" w:rsidR="00D06ADA" w:rsidRPr="004D2D6D" w:rsidRDefault="00D06ADA"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25" w:history="1">
        <w:r w:rsidRPr="004D2D6D">
          <w:rPr>
            <w:rStyle w:val="Hipervnculo"/>
            <w:sz w:val="16"/>
            <w:szCs w:val="16"/>
          </w:rPr>
          <w:t>https://www.lavozdegalicia.es/noticia/vigo/2010/03/28/colectivos-val-minor-piden-incluir-sierra-groba-red-natura/0003_8384907.htm</w:t>
        </w:r>
      </w:hyperlink>
    </w:p>
  </w:footnote>
  <w:footnote w:id="26">
    <w:p w14:paraId="5871D5D8" w14:textId="2225B15D" w:rsidR="00D06ADA" w:rsidRPr="004D2D6D" w:rsidRDefault="00D06ADA"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26" w:history="1">
        <w:r w:rsidRPr="004D2D6D">
          <w:rPr>
            <w:rStyle w:val="Hipervnculo"/>
            <w:sz w:val="16"/>
            <w:szCs w:val="16"/>
          </w:rPr>
          <w:t>https://elpais.com/diario/2012/01/02/galicia/1325503092_850215.html</w:t>
        </w:r>
      </w:hyperlink>
    </w:p>
  </w:footnote>
  <w:footnote w:id="27">
    <w:p w14:paraId="36FA4E43" w14:textId="77777777" w:rsidR="00D06ADA" w:rsidRPr="004D2D6D" w:rsidRDefault="00D06ADA"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27" w:history="1">
        <w:r w:rsidRPr="004D2D6D">
          <w:rPr>
            <w:rStyle w:val="Hipervnculo"/>
            <w:sz w:val="16"/>
            <w:szCs w:val="16"/>
          </w:rPr>
          <w:t>https://www.farodevigo.es/comarcas/2012/03/24/cuarenta-colectivos-exigen-groba-o-17671127.html</w:t>
        </w:r>
      </w:hyperlink>
    </w:p>
  </w:footnote>
  <w:footnote w:id="28">
    <w:p w14:paraId="23F0CB44" w14:textId="67B2ABB8" w:rsidR="00D06ADA" w:rsidRPr="004D2D6D" w:rsidRDefault="00D06ADA"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28" w:history="1">
        <w:r w:rsidRPr="004D2D6D">
          <w:rPr>
            <w:rStyle w:val="Hipervnculo"/>
            <w:sz w:val="16"/>
            <w:szCs w:val="16"/>
          </w:rPr>
          <w:t>https://www.farodevigo.es/comarcas/2013/06/13/firma-porrinesa-promueve-nuevo-parque-17431305.html</w:t>
        </w:r>
      </w:hyperlink>
    </w:p>
  </w:footnote>
  <w:footnote w:id="29">
    <w:p w14:paraId="2D67DDE0" w14:textId="77777777" w:rsidR="00D06ADA" w:rsidRPr="004D2D6D" w:rsidRDefault="00D06ADA"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29" w:history="1">
        <w:r w:rsidRPr="004D2D6D">
          <w:rPr>
            <w:rStyle w:val="Hipervnculo"/>
            <w:sz w:val="16"/>
            <w:szCs w:val="16"/>
          </w:rPr>
          <w:t>https://valminortv.com/2020/11/07/ecoloxistas-en-accion-llama-a-proteger-la-riqueza-de-la-serra-da-groba-y-o-galineiro/</w:t>
        </w:r>
      </w:hyperlink>
    </w:p>
  </w:footnote>
  <w:footnote w:id="30">
    <w:p w14:paraId="06DFA4E0" w14:textId="4CC4E54A" w:rsidR="00D06ADA" w:rsidRPr="004D2D6D" w:rsidRDefault="00D06ADA"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30" w:history="1">
        <w:r w:rsidRPr="004D2D6D">
          <w:rPr>
            <w:rStyle w:val="Hipervnculo"/>
            <w:sz w:val="16"/>
            <w:szCs w:val="16"/>
          </w:rPr>
          <w:t>https://telemarinas.com/o-bng-de-oia-logra-o-acordo-do-pleno-para-rexeitar-o-megaproxecto-eolico-na-serra-do-galineiro-a-groba-e-o-merendon/</w:t>
        </w:r>
      </w:hyperlink>
    </w:p>
  </w:footnote>
  <w:footnote w:id="31">
    <w:p w14:paraId="04B795AF" w14:textId="77777777" w:rsidR="00D06ADA" w:rsidRPr="004D2D6D" w:rsidRDefault="00D06ADA"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31" w:history="1">
        <w:r w:rsidRPr="004D2D6D">
          <w:rPr>
            <w:rStyle w:val="Hipervnculo"/>
            <w:sz w:val="16"/>
            <w:szCs w:val="16"/>
          </w:rPr>
          <w:t>https://telemarinas.com/o-rosal-rechaza-el-proyecto-del-parque-eolico-en-a-serra-da-groba/</w:t>
        </w:r>
      </w:hyperlink>
    </w:p>
  </w:footnote>
  <w:footnote w:id="32">
    <w:p w14:paraId="11F6185B" w14:textId="77777777" w:rsidR="00D06ADA" w:rsidRPr="004D2D6D" w:rsidRDefault="00D06ADA"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32" w:history="1">
        <w:r w:rsidRPr="004D2D6D">
          <w:rPr>
            <w:rStyle w:val="Hipervnculo"/>
            <w:sz w:val="16"/>
            <w:szCs w:val="16"/>
          </w:rPr>
          <w:t>https://www.farodevigo.es/comarcas/2021/01/29/lucha-parques-eolicos-groba-o-32068057.html</w:t>
        </w:r>
      </w:hyperlink>
    </w:p>
  </w:footnote>
  <w:footnote w:id="33">
    <w:p w14:paraId="630DF34A" w14:textId="293B5C10" w:rsidR="00D06ADA" w:rsidRPr="004D2D6D" w:rsidRDefault="00D06ADA"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33" w:history="1">
        <w:r w:rsidRPr="004D2D6D">
          <w:rPr>
            <w:rStyle w:val="Hipervnculo"/>
            <w:sz w:val="16"/>
            <w:szCs w:val="16"/>
          </w:rPr>
          <w:t>https://praza.gal/economia/asi-se-fragmenta-un-parque-eolico-para-facilitar-a-sua-autorizacion-ambiental-as-denuncias-espallanse-por-galicia</w:t>
        </w:r>
      </w:hyperlink>
    </w:p>
  </w:footnote>
  <w:footnote w:id="34">
    <w:p w14:paraId="0FEA0E0D" w14:textId="77777777" w:rsidR="00D06ADA" w:rsidRPr="004D2D6D" w:rsidRDefault="00D06ADA"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34" w:history="1">
        <w:r w:rsidRPr="004D2D6D">
          <w:rPr>
            <w:rStyle w:val="Hipervnculo"/>
            <w:sz w:val="16"/>
            <w:szCs w:val="16"/>
          </w:rPr>
          <w:t>https://www.farodevigo.es/comarcas/2021/05/16/mil-personas-claman-parques-eolicos-51882432.html</w:t>
        </w:r>
      </w:hyperlink>
    </w:p>
  </w:footnote>
  <w:footnote w:id="35">
    <w:p w14:paraId="2129BDBD" w14:textId="77777777" w:rsidR="00D06ADA" w:rsidRPr="004D2D6D" w:rsidRDefault="00D06ADA"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35" w:history="1">
        <w:r w:rsidRPr="004D2D6D">
          <w:rPr>
            <w:rStyle w:val="Hipervnculo"/>
            <w:sz w:val="16"/>
            <w:szCs w:val="16"/>
          </w:rPr>
          <w:t>https://www.farodevigo.es/comarcas/2021/05/17/eolicos-seran-morte-definitiva-da-51902472.html</w:t>
        </w:r>
      </w:hyperlink>
    </w:p>
  </w:footnote>
  <w:footnote w:id="36">
    <w:p w14:paraId="5960AF8C" w14:textId="77777777" w:rsidR="00D06ADA" w:rsidRPr="004D2D6D" w:rsidRDefault="00D06ADA" w:rsidP="008D2B07">
      <w:pPr>
        <w:pStyle w:val="Textonotapie"/>
        <w:ind w:left="142" w:hanging="142"/>
        <w:rPr>
          <w:sz w:val="16"/>
          <w:szCs w:val="16"/>
        </w:rPr>
      </w:pPr>
      <w:r w:rsidRPr="004D2D6D">
        <w:rPr>
          <w:rStyle w:val="Refdenotaalpie"/>
          <w:sz w:val="16"/>
          <w:szCs w:val="16"/>
        </w:rPr>
        <w:footnoteRef/>
      </w:r>
      <w:r w:rsidRPr="004D2D6D">
        <w:rPr>
          <w:sz w:val="16"/>
          <w:szCs w:val="16"/>
        </w:rPr>
        <w:t xml:space="preserve"> </w:t>
      </w:r>
      <w:hyperlink r:id="rId36" w:history="1">
        <w:r w:rsidRPr="004D2D6D">
          <w:rPr>
            <w:rStyle w:val="Hipervnculo"/>
            <w:sz w:val="16"/>
            <w:szCs w:val="16"/>
          </w:rPr>
          <w:t>https://www.publico.es/sociedad/parques-eolicos-galicia-estrategia-energetica-feijoo-levanta-protesta-ciudadana-parques-eolicos.html</w:t>
        </w:r>
      </w:hyperlink>
    </w:p>
  </w:footnote>
  <w:footnote w:id="37">
    <w:p w14:paraId="6DE22868" w14:textId="77777777" w:rsidR="00D06ADA" w:rsidRPr="004D2D6D" w:rsidRDefault="00D06ADA" w:rsidP="008B4C1D">
      <w:pPr>
        <w:pStyle w:val="Textonotapie"/>
        <w:rPr>
          <w:sz w:val="16"/>
          <w:szCs w:val="16"/>
        </w:rPr>
      </w:pPr>
      <w:r w:rsidRPr="004D2D6D">
        <w:rPr>
          <w:rStyle w:val="Refdenotaalpie"/>
          <w:sz w:val="16"/>
          <w:szCs w:val="16"/>
        </w:rPr>
        <w:footnoteRef/>
      </w:r>
      <w:r w:rsidRPr="004D2D6D">
        <w:rPr>
          <w:sz w:val="16"/>
          <w:szCs w:val="16"/>
        </w:rPr>
        <w:t xml:space="preserve"> </w:t>
      </w:r>
      <w:hyperlink r:id="rId37" w:history="1">
        <w:r w:rsidRPr="004D2D6D">
          <w:rPr>
            <w:rStyle w:val="Hipervnculo"/>
            <w:sz w:val="16"/>
            <w:szCs w:val="16"/>
          </w:rPr>
          <w:t>https://cadenaser.com/emisora/2021/11/08/radio_vigo/1636377863_284785.html</w:t>
        </w:r>
      </w:hyperlink>
    </w:p>
  </w:footnote>
  <w:footnote w:id="38">
    <w:p w14:paraId="43E74E08" w14:textId="1BA960A6" w:rsidR="00D06ADA" w:rsidRPr="004D2D6D" w:rsidRDefault="00D06ADA">
      <w:pPr>
        <w:pStyle w:val="Textonotapie"/>
        <w:rPr>
          <w:sz w:val="16"/>
          <w:szCs w:val="16"/>
        </w:rPr>
      </w:pPr>
      <w:r w:rsidRPr="004D2D6D">
        <w:rPr>
          <w:rStyle w:val="Refdenotaalpie"/>
          <w:sz w:val="16"/>
          <w:szCs w:val="16"/>
        </w:rPr>
        <w:footnoteRef/>
      </w:r>
      <w:r w:rsidRPr="004D2D6D">
        <w:rPr>
          <w:sz w:val="16"/>
          <w:szCs w:val="16"/>
        </w:rPr>
        <w:t xml:space="preserve"> </w:t>
      </w:r>
      <w:hyperlink r:id="rId38" w:history="1">
        <w:r w:rsidRPr="004D2D6D">
          <w:rPr>
            <w:rStyle w:val="Hipervnculo"/>
            <w:sz w:val="16"/>
            <w:szCs w:val="16"/>
          </w:rPr>
          <w:t>https://telemarinas.com/el-concello-de-oia-alegara-contra-el-parque-eolico-del-merendon/</w:t>
        </w:r>
      </w:hyperlink>
    </w:p>
  </w:footnote>
  <w:footnote w:id="39">
    <w:p w14:paraId="0EF7D5A1" w14:textId="47EF1430" w:rsidR="00D06ADA" w:rsidRPr="006610CA" w:rsidRDefault="00D06ADA">
      <w:pPr>
        <w:pStyle w:val="Textonotapie"/>
        <w:rPr>
          <w:sz w:val="16"/>
          <w:szCs w:val="16"/>
        </w:rPr>
      </w:pPr>
      <w:r>
        <w:rPr>
          <w:rStyle w:val="Refdenotaalpie"/>
        </w:rPr>
        <w:footnoteRef/>
      </w:r>
      <w:r>
        <w:t xml:space="preserve"> </w:t>
      </w:r>
      <w:hyperlink r:id="rId39" w:history="1">
        <w:r w:rsidRPr="003A224B">
          <w:rPr>
            <w:rStyle w:val="Hipervnculo"/>
            <w:sz w:val="16"/>
            <w:szCs w:val="16"/>
          </w:rPr>
          <w:t>https://www.atlantico.net/articulo/val-minor/sos-groba-mantiene-presion-parque-eolico-anulado/20220923234603941279.html</w:t>
        </w:r>
      </w:hyperlink>
    </w:p>
  </w:footnote>
  <w:footnote w:id="40">
    <w:p w14:paraId="6FB60714" w14:textId="443F43B2" w:rsidR="00D06ADA" w:rsidRDefault="00D06ADA">
      <w:pPr>
        <w:pStyle w:val="Textonotapie"/>
      </w:pPr>
      <w:r w:rsidRPr="004D2D6D">
        <w:rPr>
          <w:rStyle w:val="Refdenotaalpie"/>
          <w:sz w:val="16"/>
          <w:szCs w:val="16"/>
        </w:rPr>
        <w:footnoteRef/>
      </w:r>
      <w:r w:rsidRPr="004D2D6D">
        <w:rPr>
          <w:sz w:val="16"/>
          <w:szCs w:val="16"/>
        </w:rPr>
        <w:t xml:space="preserve"> </w:t>
      </w:r>
      <w:hyperlink r:id="rId40" w:history="1">
        <w:r w:rsidRPr="004D2D6D">
          <w:rPr>
            <w:rStyle w:val="Hipervnculo"/>
            <w:sz w:val="16"/>
            <w:szCs w:val="16"/>
          </w:rPr>
          <w:t>https://www.lavozdegalicia.es/noticia/vigo/2022/09/23/xunta-rechaza-parque-eolico-groba-impacto-ambiental/0003_202209V23C5998.htm</w:t>
        </w:r>
      </w:hyperlink>
    </w:p>
  </w:footnote>
  <w:footnote w:id="41">
    <w:p w14:paraId="4A14DDE1" w14:textId="1C3C0DEC" w:rsidR="00D06ADA" w:rsidRDefault="00D06ADA">
      <w:pPr>
        <w:pStyle w:val="Textonotapie"/>
      </w:pPr>
      <w:r>
        <w:rPr>
          <w:rStyle w:val="Refdenotaalpie"/>
        </w:rPr>
        <w:footnoteRef/>
      </w:r>
      <w:r>
        <w:t xml:space="preserve"> </w:t>
      </w:r>
      <w:hyperlink r:id="rId41" w:history="1">
        <w:r w:rsidRPr="00605D8E">
          <w:rPr>
            <w:rStyle w:val="Hipervnculo"/>
            <w:sz w:val="16"/>
            <w:szCs w:val="16"/>
          </w:rPr>
          <w:t>https://praza.gal/economia/o-impacto-paisaxistico-critico-e-irreversible-tomba-o-segundo-parque-eolico-previsto-na-serra-da-groba</w:t>
        </w:r>
      </w:hyperlink>
    </w:p>
  </w:footnote>
  <w:footnote w:id="42">
    <w:p w14:paraId="417F81D0" w14:textId="4420C8E3" w:rsidR="00D06ADA" w:rsidRDefault="00D06ADA">
      <w:pPr>
        <w:pStyle w:val="Textonotapie"/>
      </w:pPr>
      <w:r>
        <w:rPr>
          <w:rStyle w:val="Refdenotaalpie"/>
        </w:rPr>
        <w:footnoteRef/>
      </w:r>
      <w:r>
        <w:t xml:space="preserve"> </w:t>
      </w:r>
      <w:hyperlink r:id="rId42" w:history="1">
        <w:r w:rsidRPr="004D2D6D">
          <w:rPr>
            <w:rStyle w:val="Hipervnculo"/>
            <w:sz w:val="16"/>
            <w:szCs w:val="16"/>
          </w:rPr>
          <w:t>https://www.elcorreogallego.es/galicia/freno-a-otro-parque-eolico-en-la-serra-da-groba-por-su-impacto-ambiental-critico-e-irreversible-NO12497695</w:t>
        </w:r>
      </w:hyperlink>
    </w:p>
  </w:footnote>
  <w:footnote w:id="43">
    <w:p w14:paraId="7BD677A0" w14:textId="44F08120" w:rsidR="00D06ADA" w:rsidRPr="00330FBF" w:rsidRDefault="00D06ADA" w:rsidP="00C75F9C">
      <w:pPr>
        <w:pStyle w:val="Textonotapie"/>
        <w:rPr>
          <w:sz w:val="16"/>
          <w:szCs w:val="16"/>
        </w:rPr>
      </w:pPr>
      <w:r>
        <w:rPr>
          <w:rStyle w:val="Refdenotaalpie"/>
        </w:rPr>
        <w:footnoteRef/>
      </w:r>
      <w:r>
        <w:t xml:space="preserve"> </w:t>
      </w:r>
      <w:hyperlink r:id="rId43" w:history="1">
        <w:r w:rsidRPr="00BC09FF">
          <w:rPr>
            <w:rStyle w:val="Hipervnculo"/>
            <w:sz w:val="16"/>
            <w:szCs w:val="16"/>
          </w:rPr>
          <w:t>https://cadenaser.com/galicia/2023/01/16/ofensiva-de-alegaciones-contra-el-parque-eolico-torona-ser-baixo-mino/</w:t>
        </w:r>
      </w:hyperlink>
    </w:p>
  </w:footnote>
  <w:footnote w:id="44">
    <w:p w14:paraId="59967D84" w14:textId="1F9BCD5F" w:rsidR="00D06ADA" w:rsidRDefault="00D06ADA" w:rsidP="00C75F9C">
      <w:pPr>
        <w:pStyle w:val="Textonotapie"/>
      </w:pPr>
      <w:r>
        <w:rPr>
          <w:rStyle w:val="Refdenotaalpie"/>
        </w:rPr>
        <w:footnoteRef/>
      </w:r>
      <w:r>
        <w:t xml:space="preserve"> </w:t>
      </w:r>
      <w:hyperlink r:id="rId44" w:history="1">
        <w:r w:rsidRPr="00BC09FF">
          <w:rPr>
            <w:rStyle w:val="Hipervnculo"/>
            <w:sz w:val="16"/>
            <w:szCs w:val="16"/>
          </w:rPr>
          <w:t>https://www.atlantico.net/articulo/vigo/parques-eolicos-alejan-area-vigo-habra-arbo-caniza/20230129014845965033.html</w:t>
        </w:r>
      </w:hyperlink>
    </w:p>
  </w:footnote>
  <w:footnote w:id="45">
    <w:p w14:paraId="37228AB5" w14:textId="664F04BC" w:rsidR="00D06ADA" w:rsidRDefault="00D06ADA">
      <w:pPr>
        <w:pStyle w:val="Textonotapie"/>
      </w:pPr>
      <w:r>
        <w:rPr>
          <w:rStyle w:val="Refdenotaalpie"/>
        </w:rPr>
        <w:footnoteRef/>
      </w:r>
      <w:r>
        <w:t xml:space="preserve"> </w:t>
      </w:r>
      <w:hyperlink r:id="rId45" w:history="1">
        <w:r w:rsidRPr="00BC09FF">
          <w:rPr>
            <w:rStyle w:val="Hipervnculo"/>
            <w:sz w:val="16"/>
            <w:szCs w:val="16"/>
          </w:rPr>
          <w:t>https://iem.gal/seccions-iem/seccion-arqueoloxia/destruindo-o-patrimonio-as-agresions-o-patrimonio-cos-parque-eolicos-na-groba/</w:t>
        </w:r>
      </w:hyperlink>
    </w:p>
  </w:footnote>
  <w:footnote w:id="46">
    <w:p w14:paraId="3B3D37AC" w14:textId="368DA058" w:rsidR="00D06ADA" w:rsidRPr="001F7EA2" w:rsidRDefault="00D06ADA">
      <w:pPr>
        <w:pStyle w:val="Textonotapie"/>
        <w:rPr>
          <w:sz w:val="16"/>
          <w:szCs w:val="16"/>
        </w:rPr>
      </w:pPr>
      <w:r w:rsidRPr="001F7EA2">
        <w:rPr>
          <w:rStyle w:val="Refdenotaalpie"/>
          <w:sz w:val="16"/>
          <w:szCs w:val="16"/>
        </w:rPr>
        <w:footnoteRef/>
      </w:r>
      <w:r w:rsidRPr="001F7EA2">
        <w:rPr>
          <w:sz w:val="16"/>
          <w:szCs w:val="16"/>
        </w:rPr>
        <w:t xml:space="preserve"> </w:t>
      </w:r>
      <w:hyperlink r:id="rId46" w:history="1">
        <w:r w:rsidRPr="00D96FCF">
          <w:rPr>
            <w:rStyle w:val="Hipervnculo"/>
            <w:sz w:val="16"/>
            <w:szCs w:val="16"/>
          </w:rPr>
          <w:t>https://iem.gal/</w:t>
        </w:r>
      </w:hyperlink>
    </w:p>
  </w:footnote>
  <w:footnote w:id="47">
    <w:p w14:paraId="2225D249" w14:textId="2000F5A4" w:rsidR="00D06ADA" w:rsidRPr="001F7EA2" w:rsidRDefault="00D06ADA">
      <w:pPr>
        <w:pStyle w:val="Textonotapie"/>
        <w:rPr>
          <w:sz w:val="16"/>
          <w:szCs w:val="16"/>
        </w:rPr>
      </w:pPr>
      <w:r w:rsidRPr="001F7EA2">
        <w:rPr>
          <w:rStyle w:val="Refdenotaalpie"/>
          <w:sz w:val="16"/>
          <w:szCs w:val="16"/>
        </w:rPr>
        <w:footnoteRef/>
      </w:r>
      <w:r w:rsidRPr="001F7EA2">
        <w:rPr>
          <w:sz w:val="16"/>
          <w:szCs w:val="16"/>
        </w:rPr>
        <w:t xml:space="preserve"> </w:t>
      </w:r>
      <w:hyperlink r:id="rId47" w:history="1">
        <w:r w:rsidRPr="001F7EA2">
          <w:rPr>
            <w:rStyle w:val="Hipervnculo"/>
            <w:sz w:val="16"/>
            <w:szCs w:val="16"/>
          </w:rPr>
          <w:t>http://consellodacultura.gal/publicacion.php?id=4437</w:t>
        </w:r>
      </w:hyperlink>
    </w:p>
  </w:footnote>
  <w:footnote w:id="48">
    <w:p w14:paraId="49A94930" w14:textId="39E65AAB" w:rsidR="00D06ADA" w:rsidRPr="00613CA6" w:rsidRDefault="00D06ADA">
      <w:pPr>
        <w:pStyle w:val="Textonotapie"/>
        <w:rPr>
          <w:sz w:val="16"/>
          <w:szCs w:val="16"/>
        </w:rPr>
      </w:pPr>
      <w:r w:rsidRPr="00613CA6">
        <w:rPr>
          <w:rStyle w:val="Refdenotaalpie"/>
          <w:sz w:val="16"/>
          <w:szCs w:val="16"/>
        </w:rPr>
        <w:footnoteRef/>
      </w:r>
      <w:r w:rsidRPr="00613CA6">
        <w:rPr>
          <w:sz w:val="16"/>
          <w:szCs w:val="16"/>
        </w:rPr>
        <w:t xml:space="preserve"> </w:t>
      </w:r>
      <w:hyperlink r:id="rId48" w:history="1">
        <w:r w:rsidRPr="003A224B">
          <w:rPr>
            <w:rStyle w:val="Hipervnculo"/>
            <w:sz w:val="16"/>
            <w:szCs w:val="16"/>
          </w:rPr>
          <w:t>https://www.salvemosmonteferro.org</w:t>
        </w:r>
      </w:hyperlink>
    </w:p>
  </w:footnote>
  <w:footnote w:id="49">
    <w:p w14:paraId="5E4F1363" w14:textId="1AA79CA7" w:rsidR="00D06ADA" w:rsidRPr="00B82DAC" w:rsidRDefault="00D06ADA">
      <w:pPr>
        <w:pStyle w:val="Textonotapie"/>
        <w:rPr>
          <w:sz w:val="16"/>
          <w:szCs w:val="16"/>
        </w:rPr>
      </w:pPr>
      <w:r w:rsidRPr="00B82DAC">
        <w:rPr>
          <w:rStyle w:val="Refdenotaalpie"/>
          <w:sz w:val="16"/>
          <w:szCs w:val="16"/>
        </w:rPr>
        <w:footnoteRef/>
      </w:r>
      <w:r w:rsidRPr="00B82DAC">
        <w:rPr>
          <w:sz w:val="16"/>
          <w:szCs w:val="16"/>
        </w:rPr>
        <w:t xml:space="preserve"> </w:t>
      </w:r>
      <w:hyperlink r:id="rId49" w:history="1">
        <w:r w:rsidRPr="00C669CB">
          <w:rPr>
            <w:rStyle w:val="Hipervnculo"/>
            <w:sz w:val="16"/>
            <w:szCs w:val="16"/>
          </w:rPr>
          <w:t>https://www.boe.es/buscar/pdf/2012/BOE-A-2012-11414-consolidado.pdf</w:t>
        </w:r>
      </w:hyperlink>
    </w:p>
  </w:footnote>
  <w:footnote w:id="50">
    <w:p w14:paraId="545E0759" w14:textId="364CB64D" w:rsidR="00D06ADA" w:rsidRPr="00360F6A" w:rsidRDefault="00D06ADA">
      <w:pPr>
        <w:pStyle w:val="Textonotapie"/>
        <w:rPr>
          <w:sz w:val="16"/>
          <w:szCs w:val="16"/>
        </w:rPr>
      </w:pPr>
      <w:r w:rsidRPr="00360F6A">
        <w:rPr>
          <w:rStyle w:val="Refdenotaalpie"/>
          <w:sz w:val="16"/>
          <w:szCs w:val="16"/>
        </w:rPr>
        <w:footnoteRef/>
      </w:r>
      <w:r w:rsidRPr="00360F6A">
        <w:rPr>
          <w:sz w:val="16"/>
          <w:szCs w:val="16"/>
        </w:rPr>
        <w:t xml:space="preserve"> </w:t>
      </w:r>
      <w:hyperlink r:id="rId50" w:history="1">
        <w:r w:rsidRPr="00C669CB">
          <w:rPr>
            <w:rStyle w:val="Hipervnculo"/>
            <w:sz w:val="16"/>
            <w:szCs w:val="16"/>
          </w:rPr>
          <w:t>https://www.boe.es/buscar/pdf/2003/BOE-A-2003-21339-consolidado.pdf</w:t>
        </w:r>
      </w:hyperlink>
    </w:p>
  </w:footnote>
  <w:footnote w:id="51">
    <w:p w14:paraId="00B143AF" w14:textId="2B7E4CF8" w:rsidR="00D06ADA" w:rsidRPr="00A4184C" w:rsidRDefault="00D06ADA">
      <w:pPr>
        <w:pStyle w:val="Textonotapie"/>
        <w:rPr>
          <w:sz w:val="16"/>
          <w:szCs w:val="16"/>
        </w:rPr>
      </w:pPr>
      <w:r w:rsidRPr="00A4184C">
        <w:rPr>
          <w:rStyle w:val="Refdenotaalpie"/>
          <w:sz w:val="16"/>
          <w:szCs w:val="16"/>
        </w:rPr>
        <w:footnoteRef/>
      </w:r>
      <w:r w:rsidRPr="00A4184C">
        <w:rPr>
          <w:sz w:val="16"/>
          <w:szCs w:val="16"/>
        </w:rPr>
        <w:t xml:space="preserve"> </w:t>
      </w:r>
      <w:hyperlink r:id="rId51" w:history="1">
        <w:r w:rsidRPr="00874568">
          <w:rPr>
            <w:rStyle w:val="Hipervnculo"/>
            <w:sz w:val="16"/>
            <w:szCs w:val="16"/>
          </w:rPr>
          <w:t>https://loboiberico.com/wp-content/uploads/2014/06/decreto_297_2008_plan_galicia.pdf</w:t>
        </w:r>
      </w:hyperlink>
    </w:p>
  </w:footnote>
  <w:footnote w:id="52">
    <w:p w14:paraId="1166D83D" w14:textId="19067E5D" w:rsidR="00D06ADA" w:rsidRPr="00D01864" w:rsidRDefault="00D06ADA">
      <w:pPr>
        <w:pStyle w:val="Textonotapie"/>
        <w:rPr>
          <w:sz w:val="16"/>
          <w:szCs w:val="16"/>
        </w:rPr>
      </w:pPr>
      <w:r w:rsidRPr="00D01864">
        <w:rPr>
          <w:rStyle w:val="Refdenotaalpie"/>
          <w:sz w:val="16"/>
          <w:szCs w:val="16"/>
        </w:rPr>
        <w:footnoteRef/>
      </w:r>
      <w:r w:rsidRPr="00D01864">
        <w:rPr>
          <w:sz w:val="16"/>
          <w:szCs w:val="16"/>
        </w:rPr>
        <w:t xml:space="preserve"> https://www.boe.es/boe/dias/2021/01/11/pdfs/BOE-A-2021-421.pdf</w:t>
      </w:r>
    </w:p>
  </w:footnote>
  <w:footnote w:id="53">
    <w:p w14:paraId="3BB3572E" w14:textId="6A244FE2" w:rsidR="00D06ADA" w:rsidRPr="001530F0" w:rsidRDefault="00D06ADA" w:rsidP="006F212D">
      <w:pPr>
        <w:pStyle w:val="Textonotapie"/>
        <w:rPr>
          <w:rFonts w:cs="Calibri"/>
          <w:iCs/>
          <w:sz w:val="16"/>
          <w:szCs w:val="16"/>
        </w:rPr>
      </w:pPr>
      <w:r w:rsidRPr="001530F0">
        <w:rPr>
          <w:rStyle w:val="Refdenotaalpie"/>
          <w:sz w:val="16"/>
          <w:szCs w:val="16"/>
        </w:rPr>
        <w:footnoteRef/>
      </w:r>
      <w:r w:rsidRPr="001530F0">
        <w:rPr>
          <w:sz w:val="16"/>
          <w:szCs w:val="16"/>
        </w:rPr>
        <w:t xml:space="preserve"> </w:t>
      </w:r>
      <w:hyperlink r:id="rId52" w:history="1">
        <w:r w:rsidRPr="001530F0">
          <w:rPr>
            <w:rFonts w:cs="Calibri"/>
            <w:iCs/>
            <w:sz w:val="16"/>
            <w:szCs w:val="16"/>
          </w:rPr>
          <w:t>http://ashega.blogspot.com/2013/05/volta-da-cuvia.html</w:t>
        </w:r>
      </w:hyperlink>
    </w:p>
  </w:footnote>
  <w:footnote w:id="54">
    <w:p w14:paraId="076C098B" w14:textId="56B6C182" w:rsidR="00B063F6" w:rsidRPr="001530F0" w:rsidRDefault="00D06ADA" w:rsidP="001530F0">
      <w:pPr>
        <w:pStyle w:val="Default"/>
        <w:rPr>
          <w:rFonts w:asciiTheme="minorHAnsi" w:hAnsiTheme="minorHAnsi" w:cstheme="minorHAnsi"/>
          <w:iCs/>
          <w:sz w:val="16"/>
          <w:szCs w:val="16"/>
        </w:rPr>
      </w:pPr>
      <w:r w:rsidRPr="001530F0">
        <w:rPr>
          <w:rStyle w:val="Refdenotaalpie"/>
          <w:rFonts w:asciiTheme="minorHAnsi" w:hAnsiTheme="minorHAnsi" w:cstheme="minorHAnsi"/>
          <w:color w:val="auto"/>
          <w:sz w:val="16"/>
          <w:szCs w:val="16"/>
        </w:rPr>
        <w:footnoteRef/>
      </w:r>
      <w:r w:rsidRPr="001530F0">
        <w:rPr>
          <w:rFonts w:asciiTheme="minorHAnsi" w:hAnsiTheme="minorHAnsi" w:cstheme="minorHAnsi"/>
          <w:iCs/>
          <w:sz w:val="16"/>
          <w:szCs w:val="16"/>
        </w:rPr>
        <w:t xml:space="preserve"> </w:t>
      </w:r>
      <w:hyperlink r:id="rId53" w:history="1">
        <w:r w:rsidRPr="001530F0">
          <w:rPr>
            <w:rFonts w:asciiTheme="minorHAnsi" w:hAnsiTheme="minorHAnsi" w:cstheme="minorHAnsi"/>
            <w:iCs/>
            <w:sz w:val="16"/>
            <w:szCs w:val="16"/>
          </w:rPr>
          <w:t>https://herpetologica.es/a-riqueza-da-serra-da-groba-esta-rente-ao-chan-2-parte-o-descubrimento-do-escancer-iberico-e-os-reptiles/</w:t>
        </w:r>
      </w:hyperlink>
    </w:p>
  </w:footnote>
  <w:footnote w:id="55">
    <w:p w14:paraId="4361081B" w14:textId="7C80D570" w:rsidR="00B063F6" w:rsidRPr="001530F0" w:rsidRDefault="00D06ADA" w:rsidP="001530F0">
      <w:pPr>
        <w:pStyle w:val="Standard"/>
        <w:jc w:val="both"/>
        <w:rPr>
          <w:rFonts w:asciiTheme="minorHAnsi" w:hAnsiTheme="minorHAnsi" w:cstheme="minorHAnsi"/>
          <w:sz w:val="16"/>
          <w:szCs w:val="16"/>
        </w:rPr>
      </w:pPr>
      <w:r w:rsidRPr="001530F0">
        <w:rPr>
          <w:rStyle w:val="Refdenotaalpie"/>
          <w:rFonts w:asciiTheme="minorHAnsi" w:hAnsiTheme="minorHAnsi" w:cstheme="minorHAnsi"/>
          <w:sz w:val="16"/>
          <w:szCs w:val="16"/>
        </w:rPr>
        <w:footnoteRef/>
      </w:r>
      <w:r w:rsidRPr="001530F0">
        <w:rPr>
          <w:rFonts w:asciiTheme="minorHAnsi" w:hAnsiTheme="minorHAnsi" w:cstheme="minorHAnsi"/>
          <w:sz w:val="16"/>
          <w:szCs w:val="16"/>
        </w:rPr>
        <w:t xml:space="preserve"> </w:t>
      </w:r>
      <w:hyperlink r:id="rId54" w:history="1">
        <w:r w:rsidRPr="001530F0">
          <w:rPr>
            <w:rFonts w:asciiTheme="minorHAnsi" w:hAnsiTheme="minorHAnsi" w:cstheme="minorHAnsi"/>
            <w:sz w:val="16"/>
            <w:szCs w:val="16"/>
          </w:rPr>
          <w:t>https://biodiversidade.eu/especie/pelobates-cultripes/?</w:t>
        </w:r>
      </w:hyperlink>
      <w:hyperlink r:id="rId55" w:history="1">
        <w:r w:rsidRPr="001530F0">
          <w:rPr>
            <w:rFonts w:asciiTheme="minorHAnsi" w:hAnsiTheme="minorHAnsi" w:cstheme="minorHAnsi"/>
            <w:sz w:val="16"/>
            <w:szCs w:val="16"/>
          </w:rPr>
          <w:t>lang=es</w:t>
        </w:r>
      </w:hyperlink>
    </w:p>
  </w:footnote>
  <w:footnote w:id="56">
    <w:p w14:paraId="2E119AAE" w14:textId="7467CE57" w:rsidR="00B063F6" w:rsidRPr="001530F0" w:rsidRDefault="00D06ADA" w:rsidP="001530F0">
      <w:pPr>
        <w:pStyle w:val="Standard"/>
        <w:tabs>
          <w:tab w:val="left" w:pos="993"/>
        </w:tabs>
        <w:rPr>
          <w:rFonts w:asciiTheme="minorHAnsi" w:hAnsiTheme="minorHAnsi" w:cstheme="minorHAnsi"/>
          <w:kern w:val="0"/>
          <w:sz w:val="16"/>
          <w:szCs w:val="16"/>
          <w:lang w:eastAsia="en-US" w:bidi="ar-SA"/>
        </w:rPr>
      </w:pPr>
      <w:r w:rsidRPr="001530F0">
        <w:rPr>
          <w:rStyle w:val="Refdenotaalpie"/>
          <w:rFonts w:asciiTheme="minorHAnsi" w:hAnsiTheme="minorHAnsi" w:cstheme="minorHAnsi"/>
          <w:sz w:val="16"/>
          <w:szCs w:val="16"/>
        </w:rPr>
        <w:footnoteRef/>
      </w:r>
      <w:r w:rsidRPr="001530F0">
        <w:rPr>
          <w:rFonts w:asciiTheme="minorHAnsi" w:hAnsiTheme="minorHAnsi" w:cstheme="minorHAnsi"/>
          <w:kern w:val="0"/>
          <w:sz w:val="16"/>
          <w:szCs w:val="16"/>
          <w:lang w:eastAsia="en-US" w:bidi="ar-SA"/>
        </w:rPr>
        <w:t xml:space="preserve"> </w:t>
      </w:r>
      <w:hyperlink r:id="rId56" w:history="1">
        <w:r w:rsidR="00B063F6" w:rsidRPr="00CF14DF">
          <w:rPr>
            <w:rStyle w:val="Hipervnculo"/>
            <w:rFonts w:asciiTheme="minorHAnsi" w:hAnsiTheme="minorHAnsi" w:cstheme="minorHAnsi"/>
            <w:kern w:val="0"/>
            <w:sz w:val="16"/>
            <w:szCs w:val="16"/>
            <w:lang w:eastAsia="en-US" w:bidi="ar-SA"/>
          </w:rPr>
          <w:t>https://www.atlantico.net/articulo/area-metropolitana/registran-primera-vez-oia-presencia-sapo-espuelas/20120819080010190570.html</w:t>
        </w:r>
      </w:hyperlink>
    </w:p>
    <w:p w14:paraId="76803903" w14:textId="77777777" w:rsidR="00D06ADA" w:rsidRDefault="00D06ADA" w:rsidP="006F212D">
      <w:pPr>
        <w:pStyle w:val="Standard"/>
        <w:tabs>
          <w:tab w:val="left" w:pos="993"/>
        </w:tabs>
        <w:spacing w:before="120"/>
        <w:ind w:left="284" w:hanging="142"/>
      </w:pPr>
    </w:p>
  </w:footnote>
  <w:footnote w:id="57">
    <w:p w14:paraId="27DD815B" w14:textId="77B84EF4" w:rsidR="00D06ADA" w:rsidRPr="001530F0" w:rsidRDefault="00D06ADA" w:rsidP="00AE5A25">
      <w:pPr>
        <w:pStyle w:val="Textonotapie"/>
        <w:rPr>
          <w:sz w:val="16"/>
          <w:szCs w:val="16"/>
        </w:rPr>
      </w:pPr>
      <w:r w:rsidRPr="001530F0">
        <w:rPr>
          <w:rStyle w:val="Refdenotaalpie"/>
          <w:sz w:val="16"/>
          <w:szCs w:val="16"/>
        </w:rPr>
        <w:footnoteRef/>
      </w:r>
      <w:r w:rsidRPr="001530F0">
        <w:rPr>
          <w:sz w:val="16"/>
          <w:szCs w:val="16"/>
        </w:rPr>
        <w:t xml:space="preserve"> </w:t>
      </w:r>
      <w:hyperlink r:id="rId57" w:history="1">
        <w:r w:rsidRPr="000C6C4F">
          <w:rPr>
            <w:rStyle w:val="Hipervnculo"/>
            <w:sz w:val="16"/>
            <w:szCs w:val="16"/>
          </w:rPr>
          <w:t>https://oficinadelperegrino.com/</w:t>
        </w:r>
      </w:hyperlink>
    </w:p>
  </w:footnote>
  <w:footnote w:id="58">
    <w:p w14:paraId="562BFB2B" w14:textId="77777777" w:rsidR="00D06ADA" w:rsidRPr="00AE5A25" w:rsidRDefault="00D06ADA" w:rsidP="00AE5A25">
      <w:pPr>
        <w:pStyle w:val="Textonotapie"/>
        <w:rPr>
          <w:sz w:val="16"/>
          <w:szCs w:val="16"/>
        </w:rPr>
      </w:pPr>
      <w:r w:rsidRPr="00AE5A25">
        <w:rPr>
          <w:rStyle w:val="Refdenotaalpie"/>
          <w:sz w:val="16"/>
          <w:szCs w:val="16"/>
        </w:rPr>
        <w:footnoteRef/>
      </w:r>
      <w:r w:rsidRPr="00AE5A25">
        <w:rPr>
          <w:sz w:val="16"/>
          <w:szCs w:val="16"/>
        </w:rPr>
        <w:t xml:space="preserve"> </w:t>
      </w:r>
      <w:hyperlink r:id="rId58" w:history="1">
        <w:r w:rsidRPr="00AE5A25">
          <w:rPr>
            <w:rStyle w:val="Hipervnculo"/>
            <w:rFonts w:cs="Courier New"/>
            <w:sz w:val="16"/>
            <w:szCs w:val="16"/>
          </w:rPr>
          <w:t>https://cmatv.xunta.gal/c/document_library/get_file?file_path=/portal-web/Documentos_DXConservacion_da_Natureza/Espazos_protexidos/Rede%20Natura%202000/Anexo_2.pdf</w:t>
        </w:r>
      </w:hyperlink>
    </w:p>
  </w:footnote>
  <w:footnote w:id="59">
    <w:p w14:paraId="704F87A5" w14:textId="77777777" w:rsidR="00D06ADA" w:rsidRDefault="00D06ADA" w:rsidP="00AE5A25">
      <w:pPr>
        <w:pStyle w:val="Textonotapie"/>
      </w:pPr>
      <w:r w:rsidRPr="00E57831">
        <w:rPr>
          <w:rStyle w:val="Refdenotaalpie"/>
          <w:sz w:val="18"/>
          <w:szCs w:val="18"/>
        </w:rPr>
        <w:footnoteRef/>
      </w:r>
      <w:r w:rsidRPr="00E57831">
        <w:rPr>
          <w:sz w:val="18"/>
          <w:szCs w:val="18"/>
        </w:rPr>
        <w:t xml:space="preserve"> </w:t>
      </w:r>
      <w:hyperlink r:id="rId59" w:history="1">
        <w:r w:rsidRPr="00E57831">
          <w:rPr>
            <w:rStyle w:val="Hipervnculo"/>
            <w:rFonts w:cs="Courier New"/>
            <w:sz w:val="18"/>
            <w:szCs w:val="18"/>
          </w:rPr>
          <w:t>https://www.lavozdegalicia.es/noticia/sociedad/2015/05/11/europa-abre-expediente-espana-retrasos-red-natura-2000/0003_201505G11P26991.htm</w:t>
        </w:r>
      </w:hyperlink>
    </w:p>
  </w:footnote>
  <w:footnote w:id="60">
    <w:p w14:paraId="3613BBC7" w14:textId="77777777" w:rsidR="00D06ADA" w:rsidRPr="004672E3" w:rsidRDefault="00D06ADA" w:rsidP="00AE5A25">
      <w:pPr>
        <w:pStyle w:val="Textonotapie"/>
        <w:rPr>
          <w:sz w:val="16"/>
          <w:szCs w:val="16"/>
        </w:rPr>
      </w:pPr>
      <w:r w:rsidRPr="004672E3">
        <w:rPr>
          <w:rStyle w:val="Refdenotaalpie"/>
          <w:sz w:val="16"/>
          <w:szCs w:val="16"/>
        </w:rPr>
        <w:footnoteRef/>
      </w:r>
      <w:r w:rsidRPr="004672E3">
        <w:rPr>
          <w:sz w:val="16"/>
          <w:szCs w:val="16"/>
        </w:rPr>
        <w:t xml:space="preserve"> </w:t>
      </w:r>
      <w:hyperlink r:id="rId60" w:history="1">
        <w:r w:rsidRPr="004672E3">
          <w:rPr>
            <w:rStyle w:val="Hipervnculo"/>
            <w:rFonts w:cs="Courier New"/>
            <w:sz w:val="16"/>
            <w:szCs w:val="16"/>
          </w:rPr>
          <w:t>https://ec.europa.eu/commission/presscorner/detail/es/INF_20_1212</w:t>
        </w:r>
      </w:hyperlink>
    </w:p>
  </w:footnote>
  <w:footnote w:id="61">
    <w:p w14:paraId="2E179E48" w14:textId="77777777" w:rsidR="00D06ADA" w:rsidRPr="004672E3" w:rsidRDefault="00D06ADA" w:rsidP="00AE5A25">
      <w:pPr>
        <w:pStyle w:val="Textonotapie"/>
        <w:rPr>
          <w:sz w:val="16"/>
          <w:szCs w:val="16"/>
        </w:rPr>
      </w:pPr>
      <w:r w:rsidRPr="004672E3">
        <w:rPr>
          <w:rStyle w:val="Refdenotaalpie"/>
          <w:sz w:val="16"/>
          <w:szCs w:val="16"/>
        </w:rPr>
        <w:footnoteRef/>
      </w:r>
      <w:r w:rsidRPr="004672E3">
        <w:rPr>
          <w:sz w:val="16"/>
          <w:szCs w:val="16"/>
        </w:rPr>
        <w:t xml:space="preserve"> </w:t>
      </w:r>
      <w:hyperlink r:id="rId61" w:history="1">
        <w:r w:rsidRPr="004672E3">
          <w:rPr>
            <w:rStyle w:val="Hipervnculo"/>
            <w:rFonts w:cs="Courier New"/>
            <w:sz w:val="16"/>
            <w:szCs w:val="16"/>
          </w:rPr>
          <w:t>https://www.diario.eco/insuficiente-proteccion-de-la-red-natura-2000/</w:t>
        </w:r>
      </w:hyperlink>
    </w:p>
  </w:footnote>
  <w:footnote w:id="62">
    <w:p w14:paraId="5B1FF397" w14:textId="77777777" w:rsidR="00D06ADA" w:rsidRDefault="00D06ADA" w:rsidP="00AE5A25">
      <w:pPr>
        <w:pStyle w:val="Textonotapie"/>
      </w:pPr>
      <w:r w:rsidRPr="004672E3">
        <w:rPr>
          <w:rStyle w:val="Refdenotaalpie"/>
          <w:sz w:val="16"/>
          <w:szCs w:val="16"/>
        </w:rPr>
        <w:footnoteRef/>
      </w:r>
      <w:r w:rsidRPr="004672E3">
        <w:rPr>
          <w:sz w:val="16"/>
          <w:szCs w:val="16"/>
        </w:rPr>
        <w:t xml:space="preserve"> </w:t>
      </w:r>
      <w:hyperlink r:id="rId62" w:history="1">
        <w:r w:rsidRPr="004672E3">
          <w:rPr>
            <w:rStyle w:val="Hipervnculo"/>
            <w:rFonts w:cs="Courier New"/>
            <w:sz w:val="16"/>
            <w:szCs w:val="16"/>
          </w:rPr>
          <w:t>https://www.lavozdegalicia.es/noticia/sociedad/2015/05/11/europa-abre-expediente-espana-retrasos-red-natura-2000/0003_201505G11P26991.htm</w:t>
        </w:r>
      </w:hyperlink>
    </w:p>
  </w:footnote>
  <w:footnote w:id="63">
    <w:p w14:paraId="6F526825" w14:textId="77777777" w:rsidR="00D06ADA" w:rsidRPr="001D3022" w:rsidRDefault="00D06ADA" w:rsidP="00D62200">
      <w:pPr>
        <w:pStyle w:val="Textonotapie"/>
        <w:rPr>
          <w:sz w:val="16"/>
          <w:szCs w:val="16"/>
        </w:rPr>
      </w:pPr>
      <w:r w:rsidRPr="001D3022">
        <w:rPr>
          <w:rStyle w:val="Refdenotaalpie"/>
          <w:sz w:val="16"/>
          <w:szCs w:val="16"/>
        </w:rPr>
        <w:footnoteRef/>
      </w:r>
      <w:r w:rsidRPr="001D3022">
        <w:rPr>
          <w:sz w:val="16"/>
          <w:szCs w:val="16"/>
        </w:rPr>
        <w:t xml:space="preserve"> </w:t>
      </w:r>
      <w:hyperlink r:id="rId63" w:history="1">
        <w:r w:rsidRPr="00FE5FD7">
          <w:rPr>
            <w:rStyle w:val="Hipervnculo"/>
            <w:sz w:val="16"/>
            <w:szCs w:val="16"/>
          </w:rPr>
          <w:t>https://galicianomeada.xunta.gal/sixtop/visor</w:t>
        </w:r>
      </w:hyperlink>
    </w:p>
  </w:footnote>
  <w:footnote w:id="64">
    <w:p w14:paraId="47724D5A" w14:textId="77777777" w:rsidR="00D06ADA" w:rsidRPr="00594458" w:rsidRDefault="00D06ADA" w:rsidP="00D62200">
      <w:pPr>
        <w:pStyle w:val="Textonotapie"/>
        <w:rPr>
          <w:sz w:val="16"/>
          <w:szCs w:val="16"/>
        </w:rPr>
      </w:pPr>
      <w:r w:rsidRPr="00594458">
        <w:rPr>
          <w:rStyle w:val="Refdenotaalpie"/>
          <w:sz w:val="16"/>
          <w:szCs w:val="16"/>
        </w:rPr>
        <w:footnoteRef/>
      </w:r>
      <w:r w:rsidRPr="00594458">
        <w:rPr>
          <w:sz w:val="16"/>
          <w:szCs w:val="16"/>
        </w:rPr>
        <w:t xml:space="preserve"> </w:t>
      </w:r>
      <w:hyperlink r:id="rId64" w:history="1">
        <w:r w:rsidRPr="00FE5FD7">
          <w:rPr>
            <w:rStyle w:val="Hipervnculo"/>
            <w:sz w:val="16"/>
            <w:szCs w:val="16"/>
          </w:rPr>
          <w:t>https://dspace.usc.es/xmlui/handle/10347/20858</w:t>
        </w:r>
      </w:hyperlink>
    </w:p>
  </w:footnote>
  <w:footnote w:id="65">
    <w:p w14:paraId="070E3D8E" w14:textId="77777777" w:rsidR="00D06ADA" w:rsidRPr="00386A6A" w:rsidRDefault="00D06ADA" w:rsidP="00D62200">
      <w:pPr>
        <w:pStyle w:val="Textonotapie"/>
        <w:rPr>
          <w:rFonts w:cstheme="minorHAnsi"/>
          <w:sz w:val="16"/>
          <w:szCs w:val="16"/>
        </w:rPr>
      </w:pPr>
      <w:r w:rsidRPr="00386A6A">
        <w:rPr>
          <w:rStyle w:val="Refdenotaalpie"/>
          <w:rFonts w:cstheme="minorHAnsi"/>
          <w:sz w:val="16"/>
          <w:szCs w:val="16"/>
        </w:rPr>
        <w:footnoteRef/>
      </w:r>
      <w:r w:rsidRPr="00386A6A">
        <w:rPr>
          <w:rFonts w:cstheme="minorHAnsi"/>
          <w:sz w:val="16"/>
          <w:szCs w:val="16"/>
        </w:rPr>
        <w:t xml:space="preserve"> </w:t>
      </w:r>
      <w:hyperlink r:id="rId65" w:history="1">
        <w:r w:rsidRPr="00386A6A">
          <w:rPr>
            <w:rStyle w:val="Hipervnculo"/>
            <w:rFonts w:cstheme="minorHAnsi"/>
            <w:sz w:val="16"/>
            <w:szCs w:val="16"/>
          </w:rPr>
          <w:t>https://galicianomeada.xunta.gal/sixtop/visor</w:t>
        </w:r>
      </w:hyperlink>
    </w:p>
  </w:footnote>
  <w:footnote w:id="66">
    <w:p w14:paraId="485C2B7B" w14:textId="77777777" w:rsidR="00D06ADA" w:rsidRPr="00116C80" w:rsidRDefault="00D06ADA" w:rsidP="00D62200">
      <w:pPr>
        <w:pStyle w:val="Textonotapie"/>
        <w:rPr>
          <w:rFonts w:cstheme="minorHAnsi"/>
          <w:sz w:val="16"/>
          <w:szCs w:val="16"/>
        </w:rPr>
      </w:pPr>
      <w:r w:rsidRPr="00116C80">
        <w:rPr>
          <w:rStyle w:val="Refdenotaalpie"/>
          <w:rFonts w:cstheme="minorHAnsi"/>
          <w:sz w:val="16"/>
          <w:szCs w:val="16"/>
        </w:rPr>
        <w:footnoteRef/>
      </w:r>
      <w:r w:rsidRPr="00116C80">
        <w:rPr>
          <w:rFonts w:cstheme="minorHAnsi"/>
          <w:sz w:val="16"/>
          <w:szCs w:val="16"/>
        </w:rPr>
        <w:t xml:space="preserve"> </w:t>
      </w:r>
      <w:hyperlink r:id="rId66" w:history="1">
        <w:r w:rsidRPr="00116C80">
          <w:rPr>
            <w:rStyle w:val="Hipervnculo"/>
            <w:rFonts w:cstheme="minorHAnsi"/>
            <w:sz w:val="16"/>
            <w:szCs w:val="16"/>
          </w:rPr>
          <w:t>https://galicianomeada.xunta.gal/sixtop/visor</w:t>
        </w:r>
      </w:hyperlink>
    </w:p>
  </w:footnote>
  <w:footnote w:id="67">
    <w:p w14:paraId="12FCDEAF" w14:textId="77777777" w:rsidR="00D06ADA" w:rsidRPr="00116C80" w:rsidRDefault="00D06ADA" w:rsidP="00D62200">
      <w:pPr>
        <w:pStyle w:val="Textonotapie"/>
        <w:rPr>
          <w:sz w:val="16"/>
          <w:szCs w:val="16"/>
        </w:rPr>
      </w:pPr>
      <w:r w:rsidRPr="00116C80">
        <w:rPr>
          <w:rStyle w:val="Refdenotaalpie"/>
          <w:sz w:val="16"/>
          <w:szCs w:val="16"/>
        </w:rPr>
        <w:footnoteRef/>
      </w:r>
      <w:r w:rsidRPr="00116C80">
        <w:rPr>
          <w:sz w:val="16"/>
          <w:szCs w:val="16"/>
        </w:rPr>
        <w:t xml:space="preserve"> </w:t>
      </w:r>
      <w:hyperlink r:id="rId67" w:history="1">
        <w:r w:rsidRPr="00116C80">
          <w:rPr>
            <w:rStyle w:val="Hipervnculo"/>
            <w:rFonts w:cstheme="minorHAnsi"/>
            <w:sz w:val="16"/>
            <w:szCs w:val="16"/>
          </w:rPr>
          <w:t>https://ich.unesco.org/en/home</w:t>
        </w:r>
      </w:hyperlink>
    </w:p>
  </w:footnote>
  <w:footnote w:id="68">
    <w:p w14:paraId="09F7A09E" w14:textId="77777777" w:rsidR="00D06ADA" w:rsidRPr="00116C80" w:rsidRDefault="00D06ADA" w:rsidP="00D62200">
      <w:pPr>
        <w:pStyle w:val="Prrafodelista"/>
        <w:autoSpaceDE w:val="0"/>
        <w:autoSpaceDN w:val="0"/>
        <w:adjustRightInd w:val="0"/>
        <w:ind w:left="0"/>
        <w:rPr>
          <w:rFonts w:cstheme="minorHAnsi"/>
          <w:sz w:val="16"/>
          <w:szCs w:val="16"/>
        </w:rPr>
      </w:pPr>
      <w:r w:rsidRPr="00116C80">
        <w:rPr>
          <w:rStyle w:val="Refdenotaalpie"/>
          <w:sz w:val="16"/>
          <w:szCs w:val="16"/>
        </w:rPr>
        <w:footnoteRef/>
      </w:r>
      <w:r w:rsidRPr="00116C80">
        <w:rPr>
          <w:sz w:val="16"/>
          <w:szCs w:val="16"/>
        </w:rPr>
        <w:t xml:space="preserve"> </w:t>
      </w:r>
      <w:hyperlink r:id="rId68" w:history="1">
        <w:r w:rsidRPr="00A260F4">
          <w:rPr>
            <w:rStyle w:val="Hipervnculo"/>
            <w:rFonts w:cstheme="minorHAnsi"/>
            <w:sz w:val="16"/>
            <w:szCs w:val="16"/>
          </w:rPr>
          <w:t>https://www.xunta.gal/dog/Publicados/2016/20160929/AnuncioG0164-210916-0002_gl.html</w:t>
        </w:r>
      </w:hyperlink>
    </w:p>
  </w:footnote>
  <w:footnote w:id="69">
    <w:p w14:paraId="7BD973FC" w14:textId="77777777" w:rsidR="00D06ADA" w:rsidRPr="00116C80" w:rsidRDefault="00D06ADA" w:rsidP="00D62200">
      <w:pPr>
        <w:pStyle w:val="Textonotapie"/>
        <w:rPr>
          <w:sz w:val="16"/>
          <w:szCs w:val="16"/>
        </w:rPr>
      </w:pPr>
      <w:r w:rsidRPr="00116C80">
        <w:rPr>
          <w:rStyle w:val="Refdenotaalpie"/>
          <w:sz w:val="16"/>
          <w:szCs w:val="16"/>
        </w:rPr>
        <w:footnoteRef/>
      </w:r>
      <w:r w:rsidRPr="00116C80">
        <w:rPr>
          <w:sz w:val="16"/>
          <w:szCs w:val="16"/>
        </w:rPr>
        <w:t xml:space="preserve"> </w:t>
      </w:r>
      <w:hyperlink r:id="rId69" w:history="1">
        <w:r w:rsidRPr="00A260F4">
          <w:rPr>
            <w:rStyle w:val="Hipervnculo"/>
            <w:sz w:val="16"/>
            <w:szCs w:val="16"/>
          </w:rPr>
          <w:t>https://iem.gal/docs/REM/REM_12-13/03.pdf</w:t>
        </w:r>
      </w:hyperlink>
    </w:p>
  </w:footnote>
  <w:footnote w:id="70">
    <w:p w14:paraId="6043794A" w14:textId="77777777" w:rsidR="00D06ADA" w:rsidRPr="00DA63A9" w:rsidRDefault="00D06ADA" w:rsidP="00D62200">
      <w:pPr>
        <w:autoSpaceDE w:val="0"/>
        <w:autoSpaceDN w:val="0"/>
        <w:adjustRightInd w:val="0"/>
        <w:spacing w:after="0" w:line="240" w:lineRule="auto"/>
        <w:rPr>
          <w:rFonts w:cs="Calibri"/>
          <w:color w:val="0000FF" w:themeColor="hyperlink"/>
          <w:sz w:val="16"/>
          <w:szCs w:val="16"/>
          <w:u w:val="single"/>
        </w:rPr>
      </w:pPr>
      <w:r w:rsidRPr="00DA63A9">
        <w:rPr>
          <w:rStyle w:val="Refdenotaalpie"/>
          <w:sz w:val="16"/>
          <w:szCs w:val="16"/>
        </w:rPr>
        <w:footnoteRef/>
      </w:r>
      <w:r w:rsidRPr="00DA63A9">
        <w:rPr>
          <w:sz w:val="16"/>
          <w:szCs w:val="16"/>
        </w:rPr>
        <w:t xml:space="preserve"> h</w:t>
      </w:r>
      <w:hyperlink r:id="rId70" w:history="1">
        <w:r w:rsidRPr="00DA63A9">
          <w:rPr>
            <w:rFonts w:cs="Calibri"/>
            <w:color w:val="0000FF" w:themeColor="hyperlink"/>
            <w:sz w:val="16"/>
            <w:szCs w:val="16"/>
            <w:u w:val="single"/>
          </w:rPr>
          <w:t>https://www.xunta.gal/dog/Publicados/2021/20210201/AnuncioG0532-120121-0001_gl.html</w:t>
        </w:r>
      </w:hyperlink>
    </w:p>
  </w:footnote>
  <w:footnote w:id="71">
    <w:p w14:paraId="1790F78F" w14:textId="77777777" w:rsidR="00D06ADA" w:rsidRPr="003A5934" w:rsidRDefault="00D06ADA" w:rsidP="00D62200">
      <w:pPr>
        <w:pStyle w:val="Textonotapie"/>
        <w:rPr>
          <w:sz w:val="16"/>
          <w:szCs w:val="16"/>
        </w:rPr>
      </w:pPr>
      <w:r w:rsidRPr="003A5934">
        <w:rPr>
          <w:rStyle w:val="Refdenotaalpie"/>
          <w:sz w:val="16"/>
          <w:szCs w:val="16"/>
        </w:rPr>
        <w:footnoteRef/>
      </w:r>
      <w:r w:rsidRPr="003A5934">
        <w:rPr>
          <w:sz w:val="16"/>
          <w:szCs w:val="16"/>
        </w:rPr>
        <w:t xml:space="preserve"> </w:t>
      </w:r>
      <w:hyperlink r:id="rId71" w:history="1">
        <w:r w:rsidRPr="00EC05C1">
          <w:rPr>
            <w:rStyle w:val="Hipervnculo"/>
            <w:sz w:val="16"/>
            <w:szCs w:val="16"/>
          </w:rPr>
          <w:t>https://www.cultura.gal/gl/pedra-seco-patrimonio-inmaterial</w:t>
        </w:r>
      </w:hyperlink>
    </w:p>
  </w:footnote>
  <w:footnote w:id="72">
    <w:p w14:paraId="2F75DD1A" w14:textId="77777777" w:rsidR="00D06ADA" w:rsidRPr="00116640" w:rsidRDefault="00D06ADA" w:rsidP="00D62200">
      <w:pPr>
        <w:pStyle w:val="Textonotapie"/>
        <w:rPr>
          <w:sz w:val="16"/>
          <w:szCs w:val="16"/>
        </w:rPr>
      </w:pPr>
      <w:r w:rsidRPr="00116640">
        <w:rPr>
          <w:rStyle w:val="Refdenotaalpie"/>
          <w:sz w:val="16"/>
          <w:szCs w:val="16"/>
        </w:rPr>
        <w:footnoteRef/>
      </w:r>
      <w:r w:rsidRPr="00116640">
        <w:rPr>
          <w:sz w:val="16"/>
          <w:szCs w:val="16"/>
        </w:rPr>
        <w:t xml:space="preserve"> </w:t>
      </w:r>
      <w:hyperlink r:id="rId72" w:history="1">
        <w:r w:rsidRPr="00EC05C1">
          <w:rPr>
            <w:rStyle w:val="Hipervnculo"/>
            <w:sz w:val="16"/>
            <w:szCs w:val="16"/>
          </w:rPr>
          <w:t>https://es.wikipedia.org/wiki/Catastro_de_Ensenada</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FAD12C0"/>
    <w:multiLevelType w:val="multilevel"/>
    <w:tmpl w:val="1DA4613E"/>
    <w:lvl w:ilvl="0">
      <w:numFmt w:val="bullet"/>
      <w:lvlText w:val="•"/>
      <w:lvlJc w:val="left"/>
      <w:pPr>
        <w:ind w:left="708" w:firstLine="0"/>
      </w:pPr>
      <w:rPr>
        <w:rFonts w:ascii="OpenSymbol" w:eastAsia="OpenSymbol" w:hAnsi="OpenSymbol" w:cs="OpenSymbol"/>
      </w:rPr>
    </w:lvl>
    <w:lvl w:ilvl="1">
      <w:numFmt w:val="bullet"/>
      <w:lvlText w:val="◦"/>
      <w:lvlJc w:val="left"/>
      <w:pPr>
        <w:ind w:left="708" w:firstLine="0"/>
      </w:pPr>
      <w:rPr>
        <w:rFonts w:ascii="OpenSymbol" w:eastAsia="OpenSymbol" w:hAnsi="OpenSymbol" w:cs="OpenSymbol"/>
      </w:rPr>
    </w:lvl>
    <w:lvl w:ilvl="2">
      <w:numFmt w:val="bullet"/>
      <w:lvlText w:val="▪"/>
      <w:lvlJc w:val="left"/>
      <w:pPr>
        <w:ind w:left="708" w:firstLine="0"/>
      </w:pPr>
      <w:rPr>
        <w:rFonts w:ascii="OpenSymbol" w:eastAsia="OpenSymbol" w:hAnsi="OpenSymbol" w:cs="OpenSymbol"/>
      </w:rPr>
    </w:lvl>
    <w:lvl w:ilvl="3">
      <w:numFmt w:val="bullet"/>
      <w:lvlText w:val="•"/>
      <w:lvlJc w:val="left"/>
      <w:pPr>
        <w:ind w:left="708" w:firstLine="0"/>
      </w:pPr>
      <w:rPr>
        <w:rFonts w:ascii="OpenSymbol" w:eastAsia="OpenSymbol" w:hAnsi="OpenSymbol" w:cs="OpenSymbol"/>
      </w:rPr>
    </w:lvl>
    <w:lvl w:ilvl="4">
      <w:numFmt w:val="bullet"/>
      <w:lvlText w:val="◦"/>
      <w:lvlJc w:val="left"/>
      <w:pPr>
        <w:ind w:left="708" w:firstLine="0"/>
      </w:pPr>
      <w:rPr>
        <w:rFonts w:ascii="OpenSymbol" w:eastAsia="OpenSymbol" w:hAnsi="OpenSymbol" w:cs="OpenSymbol"/>
      </w:rPr>
    </w:lvl>
    <w:lvl w:ilvl="5">
      <w:numFmt w:val="bullet"/>
      <w:lvlText w:val="▪"/>
      <w:lvlJc w:val="left"/>
      <w:pPr>
        <w:ind w:left="708" w:firstLine="0"/>
      </w:pPr>
      <w:rPr>
        <w:rFonts w:ascii="OpenSymbol" w:eastAsia="OpenSymbol" w:hAnsi="OpenSymbol" w:cs="OpenSymbol"/>
      </w:rPr>
    </w:lvl>
    <w:lvl w:ilvl="6">
      <w:numFmt w:val="bullet"/>
      <w:lvlText w:val="•"/>
      <w:lvlJc w:val="left"/>
      <w:pPr>
        <w:ind w:left="708" w:firstLine="0"/>
      </w:pPr>
      <w:rPr>
        <w:rFonts w:ascii="OpenSymbol" w:eastAsia="OpenSymbol" w:hAnsi="OpenSymbol" w:cs="OpenSymbol"/>
      </w:rPr>
    </w:lvl>
    <w:lvl w:ilvl="7">
      <w:numFmt w:val="bullet"/>
      <w:lvlText w:val="◦"/>
      <w:lvlJc w:val="left"/>
      <w:pPr>
        <w:ind w:left="708" w:firstLine="0"/>
      </w:pPr>
      <w:rPr>
        <w:rFonts w:ascii="OpenSymbol" w:eastAsia="OpenSymbol" w:hAnsi="OpenSymbol" w:cs="OpenSymbol"/>
      </w:rPr>
    </w:lvl>
    <w:lvl w:ilvl="8">
      <w:numFmt w:val="bullet"/>
      <w:lvlText w:val="▪"/>
      <w:lvlJc w:val="left"/>
      <w:pPr>
        <w:ind w:left="708" w:firstLine="0"/>
      </w:pPr>
      <w:rPr>
        <w:rFonts w:ascii="OpenSymbol" w:eastAsia="OpenSymbol" w:hAnsi="OpenSymbol" w:cs="OpenSymbol"/>
      </w:rPr>
    </w:lvl>
  </w:abstractNum>
  <w:abstractNum w:abstractNumId="1" w15:restartNumberingAfterBreak="0">
    <w:nsid w:val="12DC33F1"/>
    <w:multiLevelType w:val="hybridMultilevel"/>
    <w:tmpl w:val="C1B48BD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 w15:restartNumberingAfterBreak="0">
    <w:nsid w:val="20242AFD"/>
    <w:multiLevelType w:val="multilevel"/>
    <w:tmpl w:val="ED9C213E"/>
    <w:styleLink w:val="RTFNum14"/>
    <w:lvl w:ilvl="0">
      <w:start w:val="1"/>
      <w:numFmt w:val="bullet"/>
      <w:lvlText w:val="-"/>
      <w:lvlJc w:val="left"/>
      <w:pPr>
        <w:ind w:left="720" w:hanging="360"/>
      </w:pPr>
      <w:rPr>
        <w:rFonts w:ascii="Calibri" w:eastAsia="Times New Roman" w:hAnsi="Calibri" w:hint="default"/>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 w15:restartNumberingAfterBreak="0">
    <w:nsid w:val="21515BF8"/>
    <w:multiLevelType w:val="hybridMultilevel"/>
    <w:tmpl w:val="C1B48BD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4" w15:restartNumberingAfterBreak="0">
    <w:nsid w:val="22BE15A0"/>
    <w:multiLevelType w:val="multilevel"/>
    <w:tmpl w:val="7CB81B4C"/>
    <w:styleLink w:val="RTFNum9"/>
    <w:lvl w:ilvl="0">
      <w:numFmt w:val="bullet"/>
      <w:lvlText w:val="✔"/>
      <w:lvlJc w:val="left"/>
      <w:pPr>
        <w:ind w:left="780" w:hanging="360"/>
      </w:pPr>
      <w:rPr>
        <w:rFonts w:ascii="OpenSymbol" w:eastAsia="OpenSymbol" w:hAnsi="OpenSymbol" w:cs="OpenSymbol"/>
      </w:rPr>
    </w:lvl>
    <w:lvl w:ilvl="1">
      <w:numFmt w:val="bullet"/>
      <w:lvlText w:val="✔"/>
      <w:lvlJc w:val="left"/>
      <w:pPr>
        <w:ind w:left="1140" w:hanging="360"/>
      </w:pPr>
      <w:rPr>
        <w:rFonts w:ascii="OpenSymbol" w:eastAsia="OpenSymbol" w:hAnsi="OpenSymbol" w:cs="OpenSymbol"/>
      </w:rPr>
    </w:lvl>
    <w:lvl w:ilvl="2">
      <w:numFmt w:val="bullet"/>
      <w:lvlText w:val="✔"/>
      <w:lvlJc w:val="left"/>
      <w:pPr>
        <w:ind w:left="1500" w:hanging="360"/>
      </w:pPr>
      <w:rPr>
        <w:rFonts w:ascii="OpenSymbol" w:eastAsia="OpenSymbol" w:hAnsi="OpenSymbol" w:cs="OpenSymbol"/>
      </w:rPr>
    </w:lvl>
    <w:lvl w:ilvl="3">
      <w:numFmt w:val="bullet"/>
      <w:lvlText w:val="✔"/>
      <w:lvlJc w:val="left"/>
      <w:pPr>
        <w:ind w:left="1860" w:hanging="360"/>
      </w:pPr>
      <w:rPr>
        <w:rFonts w:ascii="OpenSymbol" w:eastAsia="OpenSymbol" w:hAnsi="OpenSymbol" w:cs="OpenSymbol"/>
      </w:rPr>
    </w:lvl>
    <w:lvl w:ilvl="4">
      <w:numFmt w:val="bullet"/>
      <w:lvlText w:val="✔"/>
      <w:lvlJc w:val="left"/>
      <w:pPr>
        <w:ind w:left="2220" w:hanging="360"/>
      </w:pPr>
      <w:rPr>
        <w:rFonts w:ascii="OpenSymbol" w:eastAsia="OpenSymbol" w:hAnsi="OpenSymbol" w:cs="OpenSymbol"/>
      </w:rPr>
    </w:lvl>
    <w:lvl w:ilvl="5">
      <w:numFmt w:val="bullet"/>
      <w:lvlText w:val="✔"/>
      <w:lvlJc w:val="left"/>
      <w:pPr>
        <w:ind w:left="2580" w:hanging="360"/>
      </w:pPr>
      <w:rPr>
        <w:rFonts w:ascii="OpenSymbol" w:eastAsia="OpenSymbol" w:hAnsi="OpenSymbol" w:cs="OpenSymbol"/>
      </w:rPr>
    </w:lvl>
    <w:lvl w:ilvl="6">
      <w:numFmt w:val="bullet"/>
      <w:lvlText w:val="✔"/>
      <w:lvlJc w:val="left"/>
      <w:pPr>
        <w:ind w:left="2940" w:hanging="360"/>
      </w:pPr>
      <w:rPr>
        <w:rFonts w:ascii="OpenSymbol" w:eastAsia="OpenSymbol" w:hAnsi="OpenSymbol" w:cs="OpenSymbol"/>
      </w:rPr>
    </w:lvl>
    <w:lvl w:ilvl="7">
      <w:numFmt w:val="bullet"/>
      <w:lvlText w:val="✔"/>
      <w:lvlJc w:val="left"/>
      <w:pPr>
        <w:ind w:left="3300" w:hanging="360"/>
      </w:pPr>
      <w:rPr>
        <w:rFonts w:ascii="OpenSymbol" w:eastAsia="OpenSymbol" w:hAnsi="OpenSymbol" w:cs="OpenSymbol"/>
      </w:rPr>
    </w:lvl>
    <w:lvl w:ilvl="8">
      <w:numFmt w:val="bullet"/>
      <w:lvlText w:val="✔"/>
      <w:lvlJc w:val="left"/>
      <w:pPr>
        <w:ind w:left="3660" w:hanging="360"/>
      </w:pPr>
      <w:rPr>
        <w:rFonts w:ascii="OpenSymbol" w:eastAsia="OpenSymbol" w:hAnsi="OpenSymbol" w:cs="OpenSymbol"/>
      </w:rPr>
    </w:lvl>
  </w:abstractNum>
  <w:abstractNum w:abstractNumId="5" w15:restartNumberingAfterBreak="0">
    <w:nsid w:val="2D9903CF"/>
    <w:multiLevelType w:val="multilevel"/>
    <w:tmpl w:val="74C67042"/>
    <w:lvl w:ilvl="0">
      <w:start w:val="1"/>
      <w:numFmt w:val="bullet"/>
      <w:lvlText w:val="-"/>
      <w:lvlJc w:val="left"/>
      <w:pPr>
        <w:ind w:left="720" w:hanging="360"/>
      </w:pPr>
      <w:rPr>
        <w:rFonts w:ascii="Calibri" w:eastAsia="Times New Roman" w:hAnsi="Calibri" w:cs="Times New Roman" w:hint="default"/>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6" w15:restartNumberingAfterBreak="0">
    <w:nsid w:val="2F96394A"/>
    <w:multiLevelType w:val="hybridMultilevel"/>
    <w:tmpl w:val="AF32B438"/>
    <w:lvl w:ilvl="0" w:tplc="72B02BCA">
      <w:numFmt w:val="bullet"/>
      <w:lvlText w:val=""/>
      <w:lvlJc w:val="left"/>
      <w:pPr>
        <w:ind w:left="720" w:hanging="360"/>
      </w:pPr>
      <w:rPr>
        <w:rFonts w:ascii="Symbol" w:eastAsia="Times New Roman" w:hAnsi="Symbol" w:hint="default"/>
      </w:rPr>
    </w:lvl>
    <w:lvl w:ilvl="1" w:tplc="0C0A0003">
      <w:start w:val="1"/>
      <w:numFmt w:val="bullet"/>
      <w:lvlText w:val="o"/>
      <w:lvlJc w:val="left"/>
      <w:pPr>
        <w:ind w:left="1440" w:hanging="360"/>
      </w:pPr>
      <w:rPr>
        <w:rFonts w:ascii="Courier New" w:hAnsi="Courier New" w:hint="default"/>
      </w:rPr>
    </w:lvl>
    <w:lvl w:ilvl="2" w:tplc="0C0A0005">
      <w:start w:val="1"/>
      <w:numFmt w:val="bullet"/>
      <w:lvlText w:val=""/>
      <w:lvlJc w:val="left"/>
      <w:pPr>
        <w:ind w:left="2160" w:hanging="360"/>
      </w:pPr>
      <w:rPr>
        <w:rFonts w:ascii="Wingdings" w:hAnsi="Wingdings" w:hint="default"/>
      </w:rPr>
    </w:lvl>
    <w:lvl w:ilvl="3" w:tplc="77B84880">
      <w:start w:val="1"/>
      <w:numFmt w:val="bullet"/>
      <w:lvlText w:val="•"/>
      <w:lvlJc w:val="left"/>
      <w:pPr>
        <w:ind w:left="2880" w:hanging="360"/>
      </w:pPr>
      <w:rPr>
        <w:rFonts w:ascii="Calibri" w:eastAsia="Times New Roman" w:hAnsi="Calibri" w:hint="default"/>
      </w:rPr>
    </w:lvl>
    <w:lvl w:ilvl="4" w:tplc="0C0A0003">
      <w:start w:val="1"/>
      <w:numFmt w:val="bullet"/>
      <w:lvlText w:val="o"/>
      <w:lvlJc w:val="left"/>
      <w:pPr>
        <w:ind w:left="3600" w:hanging="360"/>
      </w:pPr>
      <w:rPr>
        <w:rFonts w:ascii="Courier New" w:hAnsi="Courier New" w:hint="default"/>
      </w:rPr>
    </w:lvl>
    <w:lvl w:ilvl="5" w:tplc="0C0A0005">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30EE4871"/>
    <w:multiLevelType w:val="multilevel"/>
    <w:tmpl w:val="C74E8E46"/>
    <w:lvl w:ilvl="0">
      <w:numFmt w:val="bullet"/>
      <w:lvlText w:val="•"/>
      <w:lvlJc w:val="left"/>
      <w:pPr>
        <w:ind w:left="0" w:firstLine="0"/>
      </w:pPr>
      <w:rPr>
        <w:rFonts w:ascii="OpenSymbol" w:eastAsia="OpenSymbol" w:hAnsi="OpenSymbol" w:cs="OpenSymbol"/>
      </w:rPr>
    </w:lvl>
    <w:lvl w:ilvl="1">
      <w:numFmt w:val="bullet"/>
      <w:lvlText w:val="◦"/>
      <w:lvlJc w:val="left"/>
      <w:pPr>
        <w:ind w:left="0" w:firstLine="0"/>
      </w:pPr>
      <w:rPr>
        <w:rFonts w:ascii="OpenSymbol" w:eastAsia="OpenSymbol" w:hAnsi="OpenSymbol" w:cs="OpenSymbol"/>
      </w:rPr>
    </w:lvl>
    <w:lvl w:ilvl="2">
      <w:numFmt w:val="bullet"/>
      <w:lvlText w:val="▪"/>
      <w:lvlJc w:val="left"/>
      <w:pPr>
        <w:ind w:left="0" w:firstLine="0"/>
      </w:pPr>
      <w:rPr>
        <w:rFonts w:ascii="OpenSymbol" w:eastAsia="OpenSymbol" w:hAnsi="OpenSymbol" w:cs="OpenSymbol"/>
      </w:rPr>
    </w:lvl>
    <w:lvl w:ilvl="3">
      <w:numFmt w:val="bullet"/>
      <w:lvlText w:val="•"/>
      <w:lvlJc w:val="left"/>
      <w:pPr>
        <w:ind w:left="0" w:firstLine="0"/>
      </w:pPr>
      <w:rPr>
        <w:rFonts w:ascii="OpenSymbol" w:eastAsia="OpenSymbol" w:hAnsi="OpenSymbol" w:cs="OpenSymbol"/>
      </w:rPr>
    </w:lvl>
    <w:lvl w:ilvl="4">
      <w:numFmt w:val="bullet"/>
      <w:lvlText w:val="◦"/>
      <w:lvlJc w:val="left"/>
      <w:pPr>
        <w:ind w:left="0" w:firstLine="0"/>
      </w:pPr>
      <w:rPr>
        <w:rFonts w:ascii="OpenSymbol" w:eastAsia="OpenSymbol" w:hAnsi="OpenSymbol" w:cs="OpenSymbol"/>
      </w:rPr>
    </w:lvl>
    <w:lvl w:ilvl="5">
      <w:numFmt w:val="bullet"/>
      <w:lvlText w:val="▪"/>
      <w:lvlJc w:val="left"/>
      <w:pPr>
        <w:ind w:left="0" w:firstLine="0"/>
      </w:pPr>
      <w:rPr>
        <w:rFonts w:ascii="OpenSymbol" w:eastAsia="OpenSymbol" w:hAnsi="OpenSymbol" w:cs="OpenSymbol"/>
      </w:rPr>
    </w:lvl>
    <w:lvl w:ilvl="6">
      <w:numFmt w:val="bullet"/>
      <w:lvlText w:val="•"/>
      <w:lvlJc w:val="left"/>
      <w:pPr>
        <w:ind w:left="0" w:firstLine="0"/>
      </w:pPr>
      <w:rPr>
        <w:rFonts w:ascii="OpenSymbol" w:eastAsia="OpenSymbol" w:hAnsi="OpenSymbol" w:cs="OpenSymbol"/>
      </w:rPr>
    </w:lvl>
    <w:lvl w:ilvl="7">
      <w:numFmt w:val="bullet"/>
      <w:lvlText w:val="◦"/>
      <w:lvlJc w:val="left"/>
      <w:pPr>
        <w:ind w:left="0" w:firstLine="0"/>
      </w:pPr>
      <w:rPr>
        <w:rFonts w:ascii="OpenSymbol" w:eastAsia="OpenSymbol" w:hAnsi="OpenSymbol" w:cs="OpenSymbol"/>
      </w:rPr>
    </w:lvl>
    <w:lvl w:ilvl="8">
      <w:numFmt w:val="bullet"/>
      <w:lvlText w:val="▪"/>
      <w:lvlJc w:val="left"/>
      <w:pPr>
        <w:ind w:left="0" w:firstLine="0"/>
      </w:pPr>
      <w:rPr>
        <w:rFonts w:ascii="OpenSymbol" w:eastAsia="OpenSymbol" w:hAnsi="OpenSymbol" w:cs="OpenSymbol"/>
      </w:rPr>
    </w:lvl>
  </w:abstractNum>
  <w:abstractNum w:abstractNumId="8" w15:restartNumberingAfterBreak="0">
    <w:nsid w:val="32330B51"/>
    <w:multiLevelType w:val="multilevel"/>
    <w:tmpl w:val="A11C385A"/>
    <w:lvl w:ilvl="0">
      <w:numFmt w:val="bullet"/>
      <w:lvlText w:val="•"/>
      <w:lvlJc w:val="left"/>
      <w:pPr>
        <w:ind w:left="0" w:firstLine="0"/>
      </w:pPr>
      <w:rPr>
        <w:rFonts w:ascii="OpenSymbol" w:eastAsia="OpenSymbol" w:hAnsi="OpenSymbol" w:cs="OpenSymbol"/>
      </w:rPr>
    </w:lvl>
    <w:lvl w:ilvl="1">
      <w:numFmt w:val="bullet"/>
      <w:lvlText w:val="◦"/>
      <w:lvlJc w:val="left"/>
      <w:pPr>
        <w:ind w:left="0" w:firstLine="0"/>
      </w:pPr>
      <w:rPr>
        <w:rFonts w:ascii="OpenSymbol" w:eastAsia="OpenSymbol" w:hAnsi="OpenSymbol" w:cs="OpenSymbol"/>
      </w:rPr>
    </w:lvl>
    <w:lvl w:ilvl="2">
      <w:numFmt w:val="bullet"/>
      <w:lvlText w:val="▪"/>
      <w:lvlJc w:val="left"/>
      <w:pPr>
        <w:ind w:left="0" w:firstLine="0"/>
      </w:pPr>
      <w:rPr>
        <w:rFonts w:ascii="OpenSymbol" w:eastAsia="OpenSymbol" w:hAnsi="OpenSymbol" w:cs="OpenSymbol"/>
      </w:rPr>
    </w:lvl>
    <w:lvl w:ilvl="3">
      <w:numFmt w:val="bullet"/>
      <w:lvlText w:val="•"/>
      <w:lvlJc w:val="left"/>
      <w:pPr>
        <w:ind w:left="0" w:firstLine="0"/>
      </w:pPr>
      <w:rPr>
        <w:rFonts w:ascii="OpenSymbol" w:eastAsia="OpenSymbol" w:hAnsi="OpenSymbol" w:cs="OpenSymbol"/>
      </w:rPr>
    </w:lvl>
    <w:lvl w:ilvl="4">
      <w:numFmt w:val="bullet"/>
      <w:lvlText w:val="◦"/>
      <w:lvlJc w:val="left"/>
      <w:pPr>
        <w:ind w:left="0" w:firstLine="0"/>
      </w:pPr>
      <w:rPr>
        <w:rFonts w:ascii="OpenSymbol" w:eastAsia="OpenSymbol" w:hAnsi="OpenSymbol" w:cs="OpenSymbol"/>
      </w:rPr>
    </w:lvl>
    <w:lvl w:ilvl="5">
      <w:numFmt w:val="bullet"/>
      <w:lvlText w:val="▪"/>
      <w:lvlJc w:val="left"/>
      <w:pPr>
        <w:ind w:left="0" w:firstLine="0"/>
      </w:pPr>
      <w:rPr>
        <w:rFonts w:ascii="OpenSymbol" w:eastAsia="OpenSymbol" w:hAnsi="OpenSymbol" w:cs="OpenSymbol"/>
      </w:rPr>
    </w:lvl>
    <w:lvl w:ilvl="6">
      <w:numFmt w:val="bullet"/>
      <w:lvlText w:val="•"/>
      <w:lvlJc w:val="left"/>
      <w:pPr>
        <w:ind w:left="0" w:firstLine="0"/>
      </w:pPr>
      <w:rPr>
        <w:rFonts w:ascii="OpenSymbol" w:eastAsia="OpenSymbol" w:hAnsi="OpenSymbol" w:cs="OpenSymbol"/>
      </w:rPr>
    </w:lvl>
    <w:lvl w:ilvl="7">
      <w:numFmt w:val="bullet"/>
      <w:lvlText w:val="◦"/>
      <w:lvlJc w:val="left"/>
      <w:pPr>
        <w:ind w:left="0" w:firstLine="0"/>
      </w:pPr>
      <w:rPr>
        <w:rFonts w:ascii="OpenSymbol" w:eastAsia="OpenSymbol" w:hAnsi="OpenSymbol" w:cs="OpenSymbol"/>
      </w:rPr>
    </w:lvl>
    <w:lvl w:ilvl="8">
      <w:numFmt w:val="bullet"/>
      <w:lvlText w:val="▪"/>
      <w:lvlJc w:val="left"/>
      <w:pPr>
        <w:ind w:left="0" w:firstLine="0"/>
      </w:pPr>
      <w:rPr>
        <w:rFonts w:ascii="OpenSymbol" w:eastAsia="OpenSymbol" w:hAnsi="OpenSymbol" w:cs="OpenSymbol"/>
      </w:rPr>
    </w:lvl>
  </w:abstractNum>
  <w:abstractNum w:abstractNumId="9" w15:restartNumberingAfterBreak="0">
    <w:nsid w:val="33FC06A6"/>
    <w:multiLevelType w:val="hybridMultilevel"/>
    <w:tmpl w:val="EC5E8794"/>
    <w:lvl w:ilvl="0" w:tplc="532E6A64">
      <w:start w:val="1"/>
      <w:numFmt w:val="decimal"/>
      <w:lvlText w:val="%1."/>
      <w:lvlJc w:val="left"/>
      <w:pPr>
        <w:ind w:left="1776" w:hanging="360"/>
      </w:pPr>
      <w:rPr>
        <w:rFonts w:cs="Times New Roman" w:hint="default"/>
      </w:rPr>
    </w:lvl>
    <w:lvl w:ilvl="1" w:tplc="0C0A0019" w:tentative="1">
      <w:start w:val="1"/>
      <w:numFmt w:val="lowerLetter"/>
      <w:lvlText w:val="%2."/>
      <w:lvlJc w:val="left"/>
      <w:pPr>
        <w:ind w:left="2496" w:hanging="360"/>
      </w:pPr>
      <w:rPr>
        <w:rFonts w:cs="Times New Roman"/>
      </w:rPr>
    </w:lvl>
    <w:lvl w:ilvl="2" w:tplc="0C0A001B" w:tentative="1">
      <w:start w:val="1"/>
      <w:numFmt w:val="lowerRoman"/>
      <w:lvlText w:val="%3."/>
      <w:lvlJc w:val="right"/>
      <w:pPr>
        <w:ind w:left="3216" w:hanging="180"/>
      </w:pPr>
      <w:rPr>
        <w:rFonts w:cs="Times New Roman"/>
      </w:rPr>
    </w:lvl>
    <w:lvl w:ilvl="3" w:tplc="0C0A000F" w:tentative="1">
      <w:start w:val="1"/>
      <w:numFmt w:val="decimal"/>
      <w:lvlText w:val="%4."/>
      <w:lvlJc w:val="left"/>
      <w:pPr>
        <w:ind w:left="3936" w:hanging="360"/>
      </w:pPr>
      <w:rPr>
        <w:rFonts w:cs="Times New Roman"/>
      </w:rPr>
    </w:lvl>
    <w:lvl w:ilvl="4" w:tplc="0C0A0019" w:tentative="1">
      <w:start w:val="1"/>
      <w:numFmt w:val="lowerLetter"/>
      <w:lvlText w:val="%5."/>
      <w:lvlJc w:val="left"/>
      <w:pPr>
        <w:ind w:left="4656" w:hanging="360"/>
      </w:pPr>
      <w:rPr>
        <w:rFonts w:cs="Times New Roman"/>
      </w:rPr>
    </w:lvl>
    <w:lvl w:ilvl="5" w:tplc="0C0A001B" w:tentative="1">
      <w:start w:val="1"/>
      <w:numFmt w:val="lowerRoman"/>
      <w:lvlText w:val="%6."/>
      <w:lvlJc w:val="right"/>
      <w:pPr>
        <w:ind w:left="5376" w:hanging="180"/>
      </w:pPr>
      <w:rPr>
        <w:rFonts w:cs="Times New Roman"/>
      </w:rPr>
    </w:lvl>
    <w:lvl w:ilvl="6" w:tplc="0C0A000F" w:tentative="1">
      <w:start w:val="1"/>
      <w:numFmt w:val="decimal"/>
      <w:lvlText w:val="%7."/>
      <w:lvlJc w:val="left"/>
      <w:pPr>
        <w:ind w:left="6096" w:hanging="360"/>
      </w:pPr>
      <w:rPr>
        <w:rFonts w:cs="Times New Roman"/>
      </w:rPr>
    </w:lvl>
    <w:lvl w:ilvl="7" w:tplc="0C0A0019" w:tentative="1">
      <w:start w:val="1"/>
      <w:numFmt w:val="lowerLetter"/>
      <w:lvlText w:val="%8."/>
      <w:lvlJc w:val="left"/>
      <w:pPr>
        <w:ind w:left="6816" w:hanging="360"/>
      </w:pPr>
      <w:rPr>
        <w:rFonts w:cs="Times New Roman"/>
      </w:rPr>
    </w:lvl>
    <w:lvl w:ilvl="8" w:tplc="0C0A001B" w:tentative="1">
      <w:start w:val="1"/>
      <w:numFmt w:val="lowerRoman"/>
      <w:lvlText w:val="%9."/>
      <w:lvlJc w:val="right"/>
      <w:pPr>
        <w:ind w:left="7536" w:hanging="180"/>
      </w:pPr>
      <w:rPr>
        <w:rFonts w:cs="Times New Roman"/>
      </w:rPr>
    </w:lvl>
  </w:abstractNum>
  <w:abstractNum w:abstractNumId="10" w15:restartNumberingAfterBreak="0">
    <w:nsid w:val="37433340"/>
    <w:multiLevelType w:val="multilevel"/>
    <w:tmpl w:val="9D44C02C"/>
    <w:styleLink w:val="RTFNum5"/>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1" w15:restartNumberingAfterBreak="0">
    <w:nsid w:val="3B887F57"/>
    <w:multiLevelType w:val="multilevel"/>
    <w:tmpl w:val="20607EAA"/>
    <w:styleLink w:val="RTFNum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Arial Unicode MS'" w:eastAsia="OpenSymbol, 'Arial Unicode MS'" w:hAnsi="OpenSymbol, 'Arial Unicode MS'" w:cs="OpenSymbol, 'Arial Unicode MS'"/>
      </w:rPr>
    </w:lvl>
    <w:lvl w:ilvl="2">
      <w:numFmt w:val="bullet"/>
      <w:lvlText w:val="–"/>
      <w:lvlJc w:val="left"/>
      <w:pPr>
        <w:ind w:left="1440" w:hanging="360"/>
      </w:pPr>
      <w:rPr>
        <w:rFonts w:ascii="OpenSymbol, 'Arial Unicode MS'" w:eastAsia="OpenSymbol, 'Arial Unicode MS'" w:hAnsi="OpenSymbol, 'Arial Unicode MS'" w:cs="OpenSymbol, 'Arial Unicode MS'"/>
      </w:rPr>
    </w:lvl>
    <w:lvl w:ilvl="3">
      <w:numFmt w:val="bullet"/>
      <w:lvlText w:val="–"/>
      <w:lvlJc w:val="left"/>
      <w:pPr>
        <w:ind w:left="1800" w:hanging="360"/>
      </w:pPr>
      <w:rPr>
        <w:rFonts w:ascii="OpenSymbol, 'Arial Unicode MS'" w:eastAsia="OpenSymbol, 'Arial Unicode MS'" w:hAnsi="OpenSymbol, 'Arial Unicode MS'" w:cs="OpenSymbol, 'Arial Unicode MS'"/>
      </w:rPr>
    </w:lvl>
    <w:lvl w:ilvl="4">
      <w:numFmt w:val="bullet"/>
      <w:lvlText w:val="–"/>
      <w:lvlJc w:val="left"/>
      <w:pPr>
        <w:ind w:left="2160" w:hanging="360"/>
      </w:pPr>
      <w:rPr>
        <w:rFonts w:ascii="OpenSymbol, 'Arial Unicode MS'" w:eastAsia="OpenSymbol, 'Arial Unicode MS'" w:hAnsi="OpenSymbol, 'Arial Unicode MS'" w:cs="OpenSymbol, 'Arial Unicode MS'"/>
      </w:rPr>
    </w:lvl>
    <w:lvl w:ilvl="5">
      <w:numFmt w:val="bullet"/>
      <w:lvlText w:val="–"/>
      <w:lvlJc w:val="left"/>
      <w:pPr>
        <w:ind w:left="2520" w:hanging="360"/>
      </w:pPr>
      <w:rPr>
        <w:rFonts w:ascii="OpenSymbol, 'Arial Unicode MS'" w:eastAsia="OpenSymbol, 'Arial Unicode MS'" w:hAnsi="OpenSymbol, 'Arial Unicode MS'" w:cs="OpenSymbol, 'Arial Unicode MS'"/>
      </w:rPr>
    </w:lvl>
    <w:lvl w:ilvl="6">
      <w:numFmt w:val="bullet"/>
      <w:lvlText w:val="–"/>
      <w:lvlJc w:val="left"/>
      <w:pPr>
        <w:ind w:left="2880" w:hanging="360"/>
      </w:pPr>
      <w:rPr>
        <w:rFonts w:ascii="OpenSymbol, 'Arial Unicode MS'" w:eastAsia="OpenSymbol, 'Arial Unicode MS'" w:hAnsi="OpenSymbol, 'Arial Unicode MS'" w:cs="OpenSymbol, 'Arial Unicode MS'"/>
      </w:rPr>
    </w:lvl>
    <w:lvl w:ilvl="7">
      <w:numFmt w:val="bullet"/>
      <w:lvlText w:val="–"/>
      <w:lvlJc w:val="left"/>
      <w:pPr>
        <w:ind w:left="3240" w:hanging="360"/>
      </w:pPr>
      <w:rPr>
        <w:rFonts w:ascii="OpenSymbol, 'Arial Unicode MS'" w:eastAsia="OpenSymbol, 'Arial Unicode MS'" w:hAnsi="OpenSymbol, 'Arial Unicode MS'" w:cs="OpenSymbol, 'Arial Unicode MS'"/>
      </w:rPr>
    </w:lvl>
    <w:lvl w:ilvl="8">
      <w:numFmt w:val="bullet"/>
      <w:lvlText w:val="–"/>
      <w:lvlJc w:val="left"/>
      <w:pPr>
        <w:ind w:left="3600" w:hanging="360"/>
      </w:pPr>
      <w:rPr>
        <w:rFonts w:ascii="OpenSymbol, 'Arial Unicode MS'" w:eastAsia="OpenSymbol, 'Arial Unicode MS'" w:hAnsi="OpenSymbol, 'Arial Unicode MS'" w:cs="OpenSymbol, 'Arial Unicode MS'"/>
      </w:rPr>
    </w:lvl>
  </w:abstractNum>
  <w:abstractNum w:abstractNumId="12" w15:restartNumberingAfterBreak="0">
    <w:nsid w:val="3B946B2B"/>
    <w:multiLevelType w:val="multilevel"/>
    <w:tmpl w:val="1CB25160"/>
    <w:lvl w:ilvl="0">
      <w:numFmt w:val="bullet"/>
      <w:lvlText w:val="•"/>
      <w:lvlJc w:val="left"/>
      <w:pPr>
        <w:ind w:left="0" w:firstLine="0"/>
      </w:pPr>
      <w:rPr>
        <w:rFonts w:ascii="OpenSymbol" w:eastAsia="OpenSymbol" w:hAnsi="OpenSymbol" w:cs="OpenSymbol"/>
      </w:rPr>
    </w:lvl>
    <w:lvl w:ilvl="1">
      <w:numFmt w:val="bullet"/>
      <w:lvlText w:val="◦"/>
      <w:lvlJc w:val="left"/>
      <w:pPr>
        <w:ind w:left="0" w:firstLine="0"/>
      </w:pPr>
      <w:rPr>
        <w:rFonts w:ascii="OpenSymbol" w:eastAsia="OpenSymbol" w:hAnsi="OpenSymbol" w:cs="OpenSymbol"/>
      </w:rPr>
    </w:lvl>
    <w:lvl w:ilvl="2">
      <w:numFmt w:val="bullet"/>
      <w:lvlText w:val="▪"/>
      <w:lvlJc w:val="left"/>
      <w:pPr>
        <w:ind w:left="0" w:firstLine="0"/>
      </w:pPr>
      <w:rPr>
        <w:rFonts w:ascii="OpenSymbol" w:eastAsia="OpenSymbol" w:hAnsi="OpenSymbol" w:cs="OpenSymbol"/>
      </w:rPr>
    </w:lvl>
    <w:lvl w:ilvl="3">
      <w:numFmt w:val="bullet"/>
      <w:lvlText w:val="•"/>
      <w:lvlJc w:val="left"/>
      <w:pPr>
        <w:ind w:left="0" w:firstLine="0"/>
      </w:pPr>
      <w:rPr>
        <w:rFonts w:ascii="OpenSymbol" w:eastAsia="OpenSymbol" w:hAnsi="OpenSymbol" w:cs="OpenSymbol"/>
      </w:rPr>
    </w:lvl>
    <w:lvl w:ilvl="4">
      <w:numFmt w:val="bullet"/>
      <w:lvlText w:val="◦"/>
      <w:lvlJc w:val="left"/>
      <w:pPr>
        <w:ind w:left="0" w:firstLine="0"/>
      </w:pPr>
      <w:rPr>
        <w:rFonts w:ascii="OpenSymbol" w:eastAsia="OpenSymbol" w:hAnsi="OpenSymbol" w:cs="OpenSymbol"/>
      </w:rPr>
    </w:lvl>
    <w:lvl w:ilvl="5">
      <w:numFmt w:val="bullet"/>
      <w:lvlText w:val="▪"/>
      <w:lvlJc w:val="left"/>
      <w:pPr>
        <w:ind w:left="0" w:firstLine="0"/>
      </w:pPr>
      <w:rPr>
        <w:rFonts w:ascii="OpenSymbol" w:eastAsia="OpenSymbol" w:hAnsi="OpenSymbol" w:cs="OpenSymbol"/>
      </w:rPr>
    </w:lvl>
    <w:lvl w:ilvl="6">
      <w:numFmt w:val="bullet"/>
      <w:lvlText w:val="•"/>
      <w:lvlJc w:val="left"/>
      <w:pPr>
        <w:ind w:left="0" w:firstLine="0"/>
      </w:pPr>
      <w:rPr>
        <w:rFonts w:ascii="OpenSymbol" w:eastAsia="OpenSymbol" w:hAnsi="OpenSymbol" w:cs="OpenSymbol"/>
      </w:rPr>
    </w:lvl>
    <w:lvl w:ilvl="7">
      <w:numFmt w:val="bullet"/>
      <w:lvlText w:val="◦"/>
      <w:lvlJc w:val="left"/>
      <w:pPr>
        <w:ind w:left="0" w:firstLine="0"/>
      </w:pPr>
      <w:rPr>
        <w:rFonts w:ascii="OpenSymbol" w:eastAsia="OpenSymbol" w:hAnsi="OpenSymbol" w:cs="OpenSymbol"/>
      </w:rPr>
    </w:lvl>
    <w:lvl w:ilvl="8">
      <w:numFmt w:val="bullet"/>
      <w:lvlText w:val="▪"/>
      <w:lvlJc w:val="left"/>
      <w:pPr>
        <w:ind w:left="0" w:firstLine="0"/>
      </w:pPr>
      <w:rPr>
        <w:rFonts w:ascii="OpenSymbol" w:eastAsia="OpenSymbol" w:hAnsi="OpenSymbol" w:cs="OpenSymbol"/>
      </w:rPr>
    </w:lvl>
  </w:abstractNum>
  <w:abstractNum w:abstractNumId="13" w15:restartNumberingAfterBreak="0">
    <w:nsid w:val="472B7122"/>
    <w:multiLevelType w:val="multilevel"/>
    <w:tmpl w:val="EE6C3072"/>
    <w:styleLink w:val="RTFNum15"/>
    <w:lvl w:ilvl="0">
      <w:numFmt w:val="bullet"/>
      <w:lvlText w:val="•"/>
      <w:lvlJc w:val="left"/>
      <w:pPr>
        <w:ind w:left="720" w:hanging="360"/>
      </w:pPr>
      <w:rPr>
        <w:rFonts w:ascii="OpenSymbol, 'Arial Unicode MS'" w:eastAsia="OpenSymbol, 'Arial Unicode MS'" w:hAnsi="OpenSymbol, 'Arial Unicode MS'" w:cs="OpenSymbol, 'Arial Unicode MS'"/>
      </w:rPr>
    </w:lvl>
    <w:lvl w:ilvl="1">
      <w:numFmt w:val="bullet"/>
      <w:lvlText w:val="◦"/>
      <w:lvlJc w:val="left"/>
      <w:pPr>
        <w:ind w:left="1080" w:hanging="360"/>
      </w:pPr>
      <w:rPr>
        <w:rFonts w:ascii="OpenSymbol, 'Arial Unicode MS'" w:eastAsia="OpenSymbol, 'Arial Unicode MS'" w:hAnsi="OpenSymbol, 'Arial Unicode MS'" w:cs="OpenSymbol, 'Arial Unicode MS'"/>
      </w:rPr>
    </w:lvl>
    <w:lvl w:ilvl="2">
      <w:numFmt w:val="bullet"/>
      <w:lvlText w:val="▪"/>
      <w:lvlJc w:val="left"/>
      <w:pPr>
        <w:ind w:left="1440" w:hanging="360"/>
      </w:pPr>
      <w:rPr>
        <w:rFonts w:ascii="OpenSymbol, 'Arial Unicode MS'" w:eastAsia="OpenSymbol, 'Arial Unicode MS'" w:hAnsi="OpenSymbol, 'Arial Unicode MS'" w:cs="OpenSymbol, 'Arial Unicode MS'"/>
      </w:rPr>
    </w:lvl>
    <w:lvl w:ilvl="3">
      <w:numFmt w:val="bullet"/>
      <w:lvlText w:val="•"/>
      <w:lvlJc w:val="left"/>
      <w:pPr>
        <w:ind w:left="1800" w:hanging="360"/>
      </w:pPr>
      <w:rPr>
        <w:rFonts w:ascii="OpenSymbol, 'Arial Unicode MS'" w:eastAsia="OpenSymbol, 'Arial Unicode MS'" w:hAnsi="OpenSymbol, 'Arial Unicode MS'" w:cs="OpenSymbol, 'Arial Unicode MS'"/>
      </w:rPr>
    </w:lvl>
    <w:lvl w:ilvl="4">
      <w:numFmt w:val="bullet"/>
      <w:lvlText w:val="◦"/>
      <w:lvlJc w:val="left"/>
      <w:pPr>
        <w:ind w:left="2160" w:hanging="360"/>
      </w:pPr>
      <w:rPr>
        <w:rFonts w:ascii="OpenSymbol, 'Arial Unicode MS'" w:eastAsia="OpenSymbol, 'Arial Unicode MS'" w:hAnsi="OpenSymbol, 'Arial Unicode MS'" w:cs="OpenSymbol, 'Arial Unicode MS'"/>
      </w:rPr>
    </w:lvl>
    <w:lvl w:ilvl="5">
      <w:numFmt w:val="bullet"/>
      <w:lvlText w:val="▪"/>
      <w:lvlJc w:val="left"/>
      <w:pPr>
        <w:ind w:left="2520" w:hanging="360"/>
      </w:pPr>
      <w:rPr>
        <w:rFonts w:ascii="OpenSymbol, 'Arial Unicode MS'" w:eastAsia="OpenSymbol, 'Arial Unicode MS'" w:hAnsi="OpenSymbol, 'Arial Unicode MS'" w:cs="OpenSymbol, 'Arial Unicode MS'"/>
      </w:rPr>
    </w:lvl>
    <w:lvl w:ilvl="6">
      <w:numFmt w:val="bullet"/>
      <w:lvlText w:val="•"/>
      <w:lvlJc w:val="left"/>
      <w:pPr>
        <w:ind w:left="2880" w:hanging="360"/>
      </w:pPr>
      <w:rPr>
        <w:rFonts w:ascii="OpenSymbol, 'Arial Unicode MS'" w:eastAsia="OpenSymbol, 'Arial Unicode MS'" w:hAnsi="OpenSymbol, 'Arial Unicode MS'" w:cs="OpenSymbol, 'Arial Unicode MS'"/>
      </w:rPr>
    </w:lvl>
    <w:lvl w:ilvl="7">
      <w:numFmt w:val="bullet"/>
      <w:lvlText w:val="◦"/>
      <w:lvlJc w:val="left"/>
      <w:pPr>
        <w:ind w:left="3240" w:hanging="360"/>
      </w:pPr>
      <w:rPr>
        <w:rFonts w:ascii="OpenSymbol, 'Arial Unicode MS'" w:eastAsia="OpenSymbol, 'Arial Unicode MS'" w:hAnsi="OpenSymbol, 'Arial Unicode MS'" w:cs="OpenSymbol, 'Arial Unicode MS'"/>
      </w:rPr>
    </w:lvl>
    <w:lvl w:ilvl="8">
      <w:numFmt w:val="bullet"/>
      <w:lvlText w:val="▪"/>
      <w:lvlJc w:val="left"/>
      <w:pPr>
        <w:ind w:left="3600" w:hanging="360"/>
      </w:pPr>
      <w:rPr>
        <w:rFonts w:ascii="OpenSymbol, 'Arial Unicode MS'" w:eastAsia="OpenSymbol, 'Arial Unicode MS'" w:hAnsi="OpenSymbol, 'Arial Unicode MS'" w:cs="OpenSymbol, 'Arial Unicode MS'"/>
      </w:rPr>
    </w:lvl>
  </w:abstractNum>
  <w:abstractNum w:abstractNumId="14" w15:restartNumberingAfterBreak="0">
    <w:nsid w:val="48314B7D"/>
    <w:multiLevelType w:val="multilevel"/>
    <w:tmpl w:val="8494AC80"/>
    <w:lvl w:ilvl="0">
      <w:numFmt w:val="bullet"/>
      <w:lvlText w:val="•"/>
      <w:lvlJc w:val="left"/>
      <w:pPr>
        <w:ind w:left="0" w:firstLine="0"/>
      </w:pPr>
      <w:rPr>
        <w:rFonts w:ascii="OpenSymbol" w:eastAsia="OpenSymbol" w:hAnsi="OpenSymbol" w:cs="OpenSymbol"/>
      </w:rPr>
    </w:lvl>
    <w:lvl w:ilvl="1">
      <w:numFmt w:val="bullet"/>
      <w:lvlText w:val="◦"/>
      <w:lvlJc w:val="left"/>
      <w:pPr>
        <w:ind w:left="0" w:firstLine="0"/>
      </w:pPr>
      <w:rPr>
        <w:rFonts w:ascii="OpenSymbol" w:eastAsia="OpenSymbol" w:hAnsi="OpenSymbol" w:cs="OpenSymbol"/>
      </w:rPr>
    </w:lvl>
    <w:lvl w:ilvl="2">
      <w:numFmt w:val="bullet"/>
      <w:lvlText w:val="▪"/>
      <w:lvlJc w:val="left"/>
      <w:pPr>
        <w:ind w:left="0" w:firstLine="0"/>
      </w:pPr>
      <w:rPr>
        <w:rFonts w:ascii="OpenSymbol" w:eastAsia="OpenSymbol" w:hAnsi="OpenSymbol" w:cs="OpenSymbol"/>
      </w:rPr>
    </w:lvl>
    <w:lvl w:ilvl="3">
      <w:numFmt w:val="bullet"/>
      <w:lvlText w:val="•"/>
      <w:lvlJc w:val="left"/>
      <w:pPr>
        <w:ind w:left="0" w:firstLine="0"/>
      </w:pPr>
      <w:rPr>
        <w:rFonts w:ascii="OpenSymbol" w:eastAsia="OpenSymbol" w:hAnsi="OpenSymbol" w:cs="OpenSymbol"/>
      </w:rPr>
    </w:lvl>
    <w:lvl w:ilvl="4">
      <w:numFmt w:val="bullet"/>
      <w:lvlText w:val="◦"/>
      <w:lvlJc w:val="left"/>
      <w:pPr>
        <w:ind w:left="0" w:firstLine="0"/>
      </w:pPr>
      <w:rPr>
        <w:rFonts w:ascii="OpenSymbol" w:eastAsia="OpenSymbol" w:hAnsi="OpenSymbol" w:cs="OpenSymbol"/>
      </w:rPr>
    </w:lvl>
    <w:lvl w:ilvl="5">
      <w:numFmt w:val="bullet"/>
      <w:lvlText w:val="▪"/>
      <w:lvlJc w:val="left"/>
      <w:pPr>
        <w:ind w:left="0" w:firstLine="0"/>
      </w:pPr>
      <w:rPr>
        <w:rFonts w:ascii="OpenSymbol" w:eastAsia="OpenSymbol" w:hAnsi="OpenSymbol" w:cs="OpenSymbol"/>
      </w:rPr>
    </w:lvl>
    <w:lvl w:ilvl="6">
      <w:numFmt w:val="bullet"/>
      <w:lvlText w:val="•"/>
      <w:lvlJc w:val="left"/>
      <w:pPr>
        <w:ind w:left="0" w:firstLine="0"/>
      </w:pPr>
      <w:rPr>
        <w:rFonts w:ascii="OpenSymbol" w:eastAsia="OpenSymbol" w:hAnsi="OpenSymbol" w:cs="OpenSymbol"/>
      </w:rPr>
    </w:lvl>
    <w:lvl w:ilvl="7">
      <w:numFmt w:val="bullet"/>
      <w:lvlText w:val="◦"/>
      <w:lvlJc w:val="left"/>
      <w:pPr>
        <w:ind w:left="0" w:firstLine="0"/>
      </w:pPr>
      <w:rPr>
        <w:rFonts w:ascii="OpenSymbol" w:eastAsia="OpenSymbol" w:hAnsi="OpenSymbol" w:cs="OpenSymbol"/>
      </w:rPr>
    </w:lvl>
    <w:lvl w:ilvl="8">
      <w:numFmt w:val="bullet"/>
      <w:lvlText w:val="▪"/>
      <w:lvlJc w:val="left"/>
      <w:pPr>
        <w:ind w:left="0" w:firstLine="0"/>
      </w:pPr>
      <w:rPr>
        <w:rFonts w:ascii="OpenSymbol" w:eastAsia="OpenSymbol" w:hAnsi="OpenSymbol" w:cs="OpenSymbol"/>
      </w:rPr>
    </w:lvl>
  </w:abstractNum>
  <w:abstractNum w:abstractNumId="15" w15:restartNumberingAfterBreak="0">
    <w:nsid w:val="4A380E22"/>
    <w:multiLevelType w:val="multilevel"/>
    <w:tmpl w:val="8A848D10"/>
    <w:styleLink w:val="RTFNum11"/>
    <w:lvl w:ilvl="0">
      <w:start w:val="1"/>
      <w:numFmt w:val="bullet"/>
      <w:lvlText w:val="-"/>
      <w:lvlJc w:val="left"/>
      <w:pPr>
        <w:ind w:left="720" w:hanging="360"/>
      </w:pPr>
      <w:rPr>
        <w:rFonts w:ascii="Calibri" w:eastAsia="Times New Roman" w:hAnsi="Calibri" w:hint="default"/>
      </w:rPr>
    </w:lvl>
    <w:lvl w:ilvl="1">
      <w:numFmt w:val="bullet"/>
      <w:lvlText w:val="◦"/>
      <w:lvlJc w:val="left"/>
      <w:pPr>
        <w:ind w:left="1080" w:hanging="360"/>
      </w:pPr>
      <w:rPr>
        <w:rFonts w:ascii="OpenSymbol, 'Arial Unicode MS'" w:eastAsia="OpenSymbol, 'Arial Unicode MS'" w:hAnsi="OpenSymbol, 'Arial Unicode MS'" w:cs="OpenSymbol, 'Arial Unicode MS'"/>
      </w:rPr>
    </w:lvl>
    <w:lvl w:ilvl="2">
      <w:numFmt w:val="bullet"/>
      <w:lvlText w:val="▪"/>
      <w:lvlJc w:val="left"/>
      <w:pPr>
        <w:ind w:left="1440" w:hanging="360"/>
      </w:pPr>
      <w:rPr>
        <w:rFonts w:ascii="OpenSymbol, 'Arial Unicode MS'" w:eastAsia="OpenSymbol, 'Arial Unicode MS'" w:hAnsi="OpenSymbol, 'Arial Unicode MS'" w:cs="OpenSymbol, 'Arial Unicode MS'"/>
      </w:rPr>
    </w:lvl>
    <w:lvl w:ilvl="3">
      <w:numFmt w:val="bullet"/>
      <w:lvlText w:val="•"/>
      <w:lvlJc w:val="left"/>
      <w:pPr>
        <w:ind w:left="1800" w:hanging="360"/>
      </w:pPr>
      <w:rPr>
        <w:rFonts w:ascii="OpenSymbol, 'Arial Unicode MS'" w:eastAsia="OpenSymbol, 'Arial Unicode MS'" w:hAnsi="OpenSymbol, 'Arial Unicode MS'" w:cs="OpenSymbol, 'Arial Unicode MS'"/>
      </w:rPr>
    </w:lvl>
    <w:lvl w:ilvl="4">
      <w:numFmt w:val="bullet"/>
      <w:lvlText w:val="◦"/>
      <w:lvlJc w:val="left"/>
      <w:pPr>
        <w:ind w:left="2160" w:hanging="360"/>
      </w:pPr>
      <w:rPr>
        <w:rFonts w:ascii="OpenSymbol, 'Arial Unicode MS'" w:eastAsia="OpenSymbol, 'Arial Unicode MS'" w:hAnsi="OpenSymbol, 'Arial Unicode MS'" w:cs="OpenSymbol, 'Arial Unicode MS'"/>
      </w:rPr>
    </w:lvl>
    <w:lvl w:ilvl="5">
      <w:numFmt w:val="bullet"/>
      <w:lvlText w:val="▪"/>
      <w:lvlJc w:val="left"/>
      <w:pPr>
        <w:ind w:left="2520" w:hanging="360"/>
      </w:pPr>
      <w:rPr>
        <w:rFonts w:ascii="OpenSymbol, 'Arial Unicode MS'" w:eastAsia="OpenSymbol, 'Arial Unicode MS'" w:hAnsi="OpenSymbol, 'Arial Unicode MS'" w:cs="OpenSymbol, 'Arial Unicode MS'"/>
      </w:rPr>
    </w:lvl>
    <w:lvl w:ilvl="6">
      <w:numFmt w:val="bullet"/>
      <w:lvlText w:val="•"/>
      <w:lvlJc w:val="left"/>
      <w:pPr>
        <w:ind w:left="2880" w:hanging="360"/>
      </w:pPr>
      <w:rPr>
        <w:rFonts w:ascii="OpenSymbol, 'Arial Unicode MS'" w:eastAsia="OpenSymbol, 'Arial Unicode MS'" w:hAnsi="OpenSymbol, 'Arial Unicode MS'" w:cs="OpenSymbol, 'Arial Unicode MS'"/>
      </w:rPr>
    </w:lvl>
    <w:lvl w:ilvl="7">
      <w:numFmt w:val="bullet"/>
      <w:lvlText w:val="◦"/>
      <w:lvlJc w:val="left"/>
      <w:pPr>
        <w:ind w:left="3240" w:hanging="360"/>
      </w:pPr>
      <w:rPr>
        <w:rFonts w:ascii="OpenSymbol, 'Arial Unicode MS'" w:eastAsia="OpenSymbol, 'Arial Unicode MS'" w:hAnsi="OpenSymbol, 'Arial Unicode MS'" w:cs="OpenSymbol, 'Arial Unicode MS'"/>
      </w:rPr>
    </w:lvl>
    <w:lvl w:ilvl="8">
      <w:numFmt w:val="bullet"/>
      <w:lvlText w:val="▪"/>
      <w:lvlJc w:val="left"/>
      <w:pPr>
        <w:ind w:left="3600" w:hanging="360"/>
      </w:pPr>
      <w:rPr>
        <w:rFonts w:ascii="OpenSymbol, 'Arial Unicode MS'" w:eastAsia="OpenSymbol, 'Arial Unicode MS'" w:hAnsi="OpenSymbol, 'Arial Unicode MS'" w:cs="OpenSymbol, 'Arial Unicode MS'"/>
      </w:rPr>
    </w:lvl>
  </w:abstractNum>
  <w:abstractNum w:abstractNumId="16" w15:restartNumberingAfterBreak="0">
    <w:nsid w:val="4CE35C8B"/>
    <w:multiLevelType w:val="multilevel"/>
    <w:tmpl w:val="07BAC7AE"/>
    <w:lvl w:ilvl="0">
      <w:numFmt w:val="bullet"/>
      <w:lvlText w:val="•"/>
      <w:lvlJc w:val="left"/>
      <w:pPr>
        <w:ind w:left="284" w:firstLine="0"/>
      </w:pPr>
      <w:rPr>
        <w:rFonts w:ascii="OpenSymbol" w:eastAsia="OpenSymbol" w:hAnsi="OpenSymbol" w:cs="OpenSymbol"/>
      </w:rPr>
    </w:lvl>
    <w:lvl w:ilvl="1">
      <w:numFmt w:val="bullet"/>
      <w:lvlText w:val="◦"/>
      <w:lvlJc w:val="left"/>
      <w:pPr>
        <w:ind w:left="284" w:firstLine="0"/>
      </w:pPr>
      <w:rPr>
        <w:rFonts w:ascii="OpenSymbol" w:eastAsia="OpenSymbol" w:hAnsi="OpenSymbol" w:cs="OpenSymbol"/>
      </w:rPr>
    </w:lvl>
    <w:lvl w:ilvl="2">
      <w:numFmt w:val="bullet"/>
      <w:lvlText w:val="▪"/>
      <w:lvlJc w:val="left"/>
      <w:pPr>
        <w:ind w:left="284" w:firstLine="0"/>
      </w:pPr>
      <w:rPr>
        <w:rFonts w:ascii="OpenSymbol" w:eastAsia="OpenSymbol" w:hAnsi="OpenSymbol" w:cs="OpenSymbol"/>
      </w:rPr>
    </w:lvl>
    <w:lvl w:ilvl="3">
      <w:numFmt w:val="bullet"/>
      <w:lvlText w:val="•"/>
      <w:lvlJc w:val="left"/>
      <w:pPr>
        <w:ind w:left="284" w:firstLine="0"/>
      </w:pPr>
      <w:rPr>
        <w:rFonts w:ascii="OpenSymbol" w:eastAsia="OpenSymbol" w:hAnsi="OpenSymbol" w:cs="OpenSymbol"/>
      </w:rPr>
    </w:lvl>
    <w:lvl w:ilvl="4">
      <w:numFmt w:val="bullet"/>
      <w:lvlText w:val="◦"/>
      <w:lvlJc w:val="left"/>
      <w:pPr>
        <w:ind w:left="284" w:firstLine="0"/>
      </w:pPr>
      <w:rPr>
        <w:rFonts w:ascii="OpenSymbol" w:eastAsia="OpenSymbol" w:hAnsi="OpenSymbol" w:cs="OpenSymbol"/>
      </w:rPr>
    </w:lvl>
    <w:lvl w:ilvl="5">
      <w:numFmt w:val="bullet"/>
      <w:lvlText w:val="▪"/>
      <w:lvlJc w:val="left"/>
      <w:pPr>
        <w:ind w:left="284" w:firstLine="0"/>
      </w:pPr>
      <w:rPr>
        <w:rFonts w:ascii="OpenSymbol" w:eastAsia="OpenSymbol" w:hAnsi="OpenSymbol" w:cs="OpenSymbol"/>
      </w:rPr>
    </w:lvl>
    <w:lvl w:ilvl="6">
      <w:numFmt w:val="bullet"/>
      <w:lvlText w:val="•"/>
      <w:lvlJc w:val="left"/>
      <w:pPr>
        <w:ind w:left="284" w:firstLine="0"/>
      </w:pPr>
      <w:rPr>
        <w:rFonts w:ascii="OpenSymbol" w:eastAsia="OpenSymbol" w:hAnsi="OpenSymbol" w:cs="OpenSymbol"/>
      </w:rPr>
    </w:lvl>
    <w:lvl w:ilvl="7">
      <w:numFmt w:val="bullet"/>
      <w:lvlText w:val="◦"/>
      <w:lvlJc w:val="left"/>
      <w:pPr>
        <w:ind w:left="284" w:firstLine="0"/>
      </w:pPr>
      <w:rPr>
        <w:rFonts w:ascii="OpenSymbol" w:eastAsia="OpenSymbol" w:hAnsi="OpenSymbol" w:cs="OpenSymbol"/>
      </w:rPr>
    </w:lvl>
    <w:lvl w:ilvl="8">
      <w:numFmt w:val="bullet"/>
      <w:lvlText w:val="▪"/>
      <w:lvlJc w:val="left"/>
      <w:pPr>
        <w:ind w:left="284" w:firstLine="0"/>
      </w:pPr>
      <w:rPr>
        <w:rFonts w:ascii="OpenSymbol" w:eastAsia="OpenSymbol" w:hAnsi="OpenSymbol" w:cs="OpenSymbol"/>
      </w:rPr>
    </w:lvl>
  </w:abstractNum>
  <w:abstractNum w:abstractNumId="17" w15:restartNumberingAfterBreak="0">
    <w:nsid w:val="4FB34D60"/>
    <w:multiLevelType w:val="hybridMultilevel"/>
    <w:tmpl w:val="0608CC0C"/>
    <w:lvl w:ilvl="0" w:tplc="523AD1B0">
      <w:start w:val="1"/>
      <w:numFmt w:val="decimal"/>
      <w:lvlText w:val="ALEGACIÓN %1.- "/>
      <w:lvlJc w:val="left"/>
      <w:pPr>
        <w:ind w:left="1637" w:hanging="360"/>
      </w:pPr>
      <w:rPr>
        <w:rFonts w:hint="default"/>
        <w:b/>
        <w:color w:val="000000" w:themeColor="text1"/>
      </w:rPr>
    </w:lvl>
    <w:lvl w:ilvl="1" w:tplc="0C0A0019" w:tentative="1">
      <w:start w:val="1"/>
      <w:numFmt w:val="lowerLetter"/>
      <w:lvlText w:val="%2."/>
      <w:lvlJc w:val="left"/>
      <w:pPr>
        <w:ind w:left="8385" w:hanging="360"/>
      </w:pPr>
    </w:lvl>
    <w:lvl w:ilvl="2" w:tplc="0C0A001B" w:tentative="1">
      <w:start w:val="1"/>
      <w:numFmt w:val="lowerRoman"/>
      <w:lvlText w:val="%3."/>
      <w:lvlJc w:val="right"/>
      <w:pPr>
        <w:ind w:left="9105" w:hanging="180"/>
      </w:pPr>
    </w:lvl>
    <w:lvl w:ilvl="3" w:tplc="0C0A000F" w:tentative="1">
      <w:start w:val="1"/>
      <w:numFmt w:val="decimal"/>
      <w:lvlText w:val="%4."/>
      <w:lvlJc w:val="left"/>
      <w:pPr>
        <w:ind w:left="9825" w:hanging="360"/>
      </w:pPr>
    </w:lvl>
    <w:lvl w:ilvl="4" w:tplc="0C0A0019" w:tentative="1">
      <w:start w:val="1"/>
      <w:numFmt w:val="lowerLetter"/>
      <w:lvlText w:val="%5."/>
      <w:lvlJc w:val="left"/>
      <w:pPr>
        <w:ind w:left="10545" w:hanging="360"/>
      </w:pPr>
    </w:lvl>
    <w:lvl w:ilvl="5" w:tplc="0C0A001B" w:tentative="1">
      <w:start w:val="1"/>
      <w:numFmt w:val="lowerRoman"/>
      <w:lvlText w:val="%6."/>
      <w:lvlJc w:val="right"/>
      <w:pPr>
        <w:ind w:left="11265" w:hanging="180"/>
      </w:pPr>
    </w:lvl>
    <w:lvl w:ilvl="6" w:tplc="0C0A000F" w:tentative="1">
      <w:start w:val="1"/>
      <w:numFmt w:val="decimal"/>
      <w:lvlText w:val="%7."/>
      <w:lvlJc w:val="left"/>
      <w:pPr>
        <w:ind w:left="11985" w:hanging="360"/>
      </w:pPr>
    </w:lvl>
    <w:lvl w:ilvl="7" w:tplc="0C0A0019" w:tentative="1">
      <w:start w:val="1"/>
      <w:numFmt w:val="lowerLetter"/>
      <w:lvlText w:val="%8."/>
      <w:lvlJc w:val="left"/>
      <w:pPr>
        <w:ind w:left="12705" w:hanging="360"/>
      </w:pPr>
    </w:lvl>
    <w:lvl w:ilvl="8" w:tplc="0C0A001B" w:tentative="1">
      <w:start w:val="1"/>
      <w:numFmt w:val="lowerRoman"/>
      <w:lvlText w:val="%9."/>
      <w:lvlJc w:val="right"/>
      <w:pPr>
        <w:ind w:left="13425" w:hanging="180"/>
      </w:pPr>
    </w:lvl>
  </w:abstractNum>
  <w:abstractNum w:abstractNumId="18" w15:restartNumberingAfterBreak="0">
    <w:nsid w:val="503A1A41"/>
    <w:multiLevelType w:val="hybridMultilevel"/>
    <w:tmpl w:val="883AA262"/>
    <w:lvl w:ilvl="0" w:tplc="8A7AF12A">
      <w:start w:val="1"/>
      <w:numFmt w:val="lowerLetter"/>
      <w:lvlText w:val="%1)"/>
      <w:lvlJc w:val="left"/>
      <w:pPr>
        <w:ind w:left="1776" w:hanging="360"/>
      </w:pPr>
      <w:rPr>
        <w:rFonts w:cs="Times New Roman" w:hint="default"/>
      </w:rPr>
    </w:lvl>
    <w:lvl w:ilvl="1" w:tplc="0C0A0019" w:tentative="1">
      <w:start w:val="1"/>
      <w:numFmt w:val="lowerLetter"/>
      <w:lvlText w:val="%2."/>
      <w:lvlJc w:val="left"/>
      <w:pPr>
        <w:ind w:left="2496" w:hanging="360"/>
      </w:pPr>
      <w:rPr>
        <w:rFonts w:cs="Times New Roman"/>
      </w:rPr>
    </w:lvl>
    <w:lvl w:ilvl="2" w:tplc="0C0A001B" w:tentative="1">
      <w:start w:val="1"/>
      <w:numFmt w:val="lowerRoman"/>
      <w:lvlText w:val="%3."/>
      <w:lvlJc w:val="right"/>
      <w:pPr>
        <w:ind w:left="3216" w:hanging="180"/>
      </w:pPr>
      <w:rPr>
        <w:rFonts w:cs="Times New Roman"/>
      </w:rPr>
    </w:lvl>
    <w:lvl w:ilvl="3" w:tplc="0C0A000F" w:tentative="1">
      <w:start w:val="1"/>
      <w:numFmt w:val="decimal"/>
      <w:lvlText w:val="%4."/>
      <w:lvlJc w:val="left"/>
      <w:pPr>
        <w:ind w:left="3936" w:hanging="360"/>
      </w:pPr>
      <w:rPr>
        <w:rFonts w:cs="Times New Roman"/>
      </w:rPr>
    </w:lvl>
    <w:lvl w:ilvl="4" w:tplc="0C0A0019" w:tentative="1">
      <w:start w:val="1"/>
      <w:numFmt w:val="lowerLetter"/>
      <w:lvlText w:val="%5."/>
      <w:lvlJc w:val="left"/>
      <w:pPr>
        <w:ind w:left="4656" w:hanging="360"/>
      </w:pPr>
      <w:rPr>
        <w:rFonts w:cs="Times New Roman"/>
      </w:rPr>
    </w:lvl>
    <w:lvl w:ilvl="5" w:tplc="0C0A001B" w:tentative="1">
      <w:start w:val="1"/>
      <w:numFmt w:val="lowerRoman"/>
      <w:lvlText w:val="%6."/>
      <w:lvlJc w:val="right"/>
      <w:pPr>
        <w:ind w:left="5376" w:hanging="180"/>
      </w:pPr>
      <w:rPr>
        <w:rFonts w:cs="Times New Roman"/>
      </w:rPr>
    </w:lvl>
    <w:lvl w:ilvl="6" w:tplc="0C0A000F" w:tentative="1">
      <w:start w:val="1"/>
      <w:numFmt w:val="decimal"/>
      <w:lvlText w:val="%7."/>
      <w:lvlJc w:val="left"/>
      <w:pPr>
        <w:ind w:left="6096" w:hanging="360"/>
      </w:pPr>
      <w:rPr>
        <w:rFonts w:cs="Times New Roman"/>
      </w:rPr>
    </w:lvl>
    <w:lvl w:ilvl="7" w:tplc="0C0A0019" w:tentative="1">
      <w:start w:val="1"/>
      <w:numFmt w:val="lowerLetter"/>
      <w:lvlText w:val="%8."/>
      <w:lvlJc w:val="left"/>
      <w:pPr>
        <w:ind w:left="6816" w:hanging="360"/>
      </w:pPr>
      <w:rPr>
        <w:rFonts w:cs="Times New Roman"/>
      </w:rPr>
    </w:lvl>
    <w:lvl w:ilvl="8" w:tplc="0C0A001B" w:tentative="1">
      <w:start w:val="1"/>
      <w:numFmt w:val="lowerRoman"/>
      <w:lvlText w:val="%9."/>
      <w:lvlJc w:val="right"/>
      <w:pPr>
        <w:ind w:left="7536" w:hanging="180"/>
      </w:pPr>
      <w:rPr>
        <w:rFonts w:cs="Times New Roman"/>
      </w:rPr>
    </w:lvl>
  </w:abstractNum>
  <w:abstractNum w:abstractNumId="19" w15:restartNumberingAfterBreak="0">
    <w:nsid w:val="54BE4207"/>
    <w:multiLevelType w:val="hybridMultilevel"/>
    <w:tmpl w:val="7364602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8404D6A"/>
    <w:multiLevelType w:val="multilevel"/>
    <w:tmpl w:val="2D58E14A"/>
    <w:styleLink w:val="RTFNum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Arial Unicode MS'" w:eastAsia="OpenSymbol, 'Arial Unicode MS'" w:hAnsi="OpenSymbol, 'Arial Unicode MS'" w:cs="OpenSymbol, 'Arial Unicode MS'"/>
      </w:rPr>
    </w:lvl>
    <w:lvl w:ilvl="2">
      <w:numFmt w:val="bullet"/>
      <w:lvlText w:val="–"/>
      <w:lvlJc w:val="left"/>
      <w:pPr>
        <w:ind w:left="1440" w:hanging="360"/>
      </w:pPr>
      <w:rPr>
        <w:rFonts w:ascii="OpenSymbol, 'Arial Unicode MS'" w:eastAsia="OpenSymbol, 'Arial Unicode MS'" w:hAnsi="OpenSymbol, 'Arial Unicode MS'" w:cs="OpenSymbol, 'Arial Unicode MS'"/>
      </w:rPr>
    </w:lvl>
    <w:lvl w:ilvl="3">
      <w:numFmt w:val="bullet"/>
      <w:lvlText w:val="–"/>
      <w:lvlJc w:val="left"/>
      <w:pPr>
        <w:ind w:left="1800" w:hanging="360"/>
      </w:pPr>
      <w:rPr>
        <w:rFonts w:ascii="OpenSymbol, 'Arial Unicode MS'" w:eastAsia="OpenSymbol, 'Arial Unicode MS'" w:hAnsi="OpenSymbol, 'Arial Unicode MS'" w:cs="OpenSymbol, 'Arial Unicode MS'"/>
      </w:rPr>
    </w:lvl>
    <w:lvl w:ilvl="4">
      <w:numFmt w:val="bullet"/>
      <w:lvlText w:val="–"/>
      <w:lvlJc w:val="left"/>
      <w:pPr>
        <w:ind w:left="2160" w:hanging="360"/>
      </w:pPr>
      <w:rPr>
        <w:rFonts w:ascii="OpenSymbol, 'Arial Unicode MS'" w:eastAsia="OpenSymbol, 'Arial Unicode MS'" w:hAnsi="OpenSymbol, 'Arial Unicode MS'" w:cs="OpenSymbol, 'Arial Unicode MS'"/>
      </w:rPr>
    </w:lvl>
    <w:lvl w:ilvl="5">
      <w:numFmt w:val="bullet"/>
      <w:lvlText w:val="–"/>
      <w:lvlJc w:val="left"/>
      <w:pPr>
        <w:ind w:left="2520" w:hanging="360"/>
      </w:pPr>
      <w:rPr>
        <w:rFonts w:ascii="OpenSymbol, 'Arial Unicode MS'" w:eastAsia="OpenSymbol, 'Arial Unicode MS'" w:hAnsi="OpenSymbol, 'Arial Unicode MS'" w:cs="OpenSymbol, 'Arial Unicode MS'"/>
      </w:rPr>
    </w:lvl>
    <w:lvl w:ilvl="6">
      <w:numFmt w:val="bullet"/>
      <w:lvlText w:val="–"/>
      <w:lvlJc w:val="left"/>
      <w:pPr>
        <w:ind w:left="2880" w:hanging="360"/>
      </w:pPr>
      <w:rPr>
        <w:rFonts w:ascii="OpenSymbol, 'Arial Unicode MS'" w:eastAsia="OpenSymbol, 'Arial Unicode MS'" w:hAnsi="OpenSymbol, 'Arial Unicode MS'" w:cs="OpenSymbol, 'Arial Unicode MS'"/>
      </w:rPr>
    </w:lvl>
    <w:lvl w:ilvl="7">
      <w:numFmt w:val="bullet"/>
      <w:lvlText w:val="–"/>
      <w:lvlJc w:val="left"/>
      <w:pPr>
        <w:ind w:left="3240" w:hanging="360"/>
      </w:pPr>
      <w:rPr>
        <w:rFonts w:ascii="OpenSymbol, 'Arial Unicode MS'" w:eastAsia="OpenSymbol, 'Arial Unicode MS'" w:hAnsi="OpenSymbol, 'Arial Unicode MS'" w:cs="OpenSymbol, 'Arial Unicode MS'"/>
      </w:rPr>
    </w:lvl>
    <w:lvl w:ilvl="8">
      <w:numFmt w:val="bullet"/>
      <w:lvlText w:val="–"/>
      <w:lvlJc w:val="left"/>
      <w:pPr>
        <w:ind w:left="3600" w:hanging="360"/>
      </w:pPr>
      <w:rPr>
        <w:rFonts w:ascii="OpenSymbol, 'Arial Unicode MS'" w:eastAsia="OpenSymbol, 'Arial Unicode MS'" w:hAnsi="OpenSymbol, 'Arial Unicode MS'" w:cs="OpenSymbol, 'Arial Unicode MS'"/>
      </w:rPr>
    </w:lvl>
  </w:abstractNum>
  <w:abstractNum w:abstractNumId="21" w15:restartNumberingAfterBreak="0">
    <w:nsid w:val="5AC8773C"/>
    <w:multiLevelType w:val="multilevel"/>
    <w:tmpl w:val="24E26D66"/>
    <w:lvl w:ilvl="0">
      <w:numFmt w:val="bullet"/>
      <w:lvlText w:val="•"/>
      <w:lvlJc w:val="left"/>
      <w:pPr>
        <w:ind w:left="0" w:firstLine="0"/>
      </w:pPr>
      <w:rPr>
        <w:rFonts w:ascii="OpenSymbol" w:eastAsia="OpenSymbol" w:hAnsi="OpenSymbol" w:cs="OpenSymbol"/>
      </w:rPr>
    </w:lvl>
    <w:lvl w:ilvl="1">
      <w:numFmt w:val="bullet"/>
      <w:lvlText w:val="◦"/>
      <w:lvlJc w:val="left"/>
      <w:pPr>
        <w:ind w:left="0" w:firstLine="0"/>
      </w:pPr>
      <w:rPr>
        <w:rFonts w:ascii="OpenSymbol" w:eastAsia="OpenSymbol" w:hAnsi="OpenSymbol" w:cs="OpenSymbol"/>
      </w:rPr>
    </w:lvl>
    <w:lvl w:ilvl="2">
      <w:numFmt w:val="bullet"/>
      <w:lvlText w:val="▪"/>
      <w:lvlJc w:val="left"/>
      <w:pPr>
        <w:ind w:left="0" w:firstLine="0"/>
      </w:pPr>
      <w:rPr>
        <w:rFonts w:ascii="OpenSymbol" w:eastAsia="OpenSymbol" w:hAnsi="OpenSymbol" w:cs="OpenSymbol"/>
      </w:rPr>
    </w:lvl>
    <w:lvl w:ilvl="3">
      <w:numFmt w:val="bullet"/>
      <w:lvlText w:val="•"/>
      <w:lvlJc w:val="left"/>
      <w:pPr>
        <w:ind w:left="0" w:firstLine="0"/>
      </w:pPr>
      <w:rPr>
        <w:rFonts w:ascii="OpenSymbol" w:eastAsia="OpenSymbol" w:hAnsi="OpenSymbol" w:cs="OpenSymbol"/>
      </w:rPr>
    </w:lvl>
    <w:lvl w:ilvl="4">
      <w:numFmt w:val="bullet"/>
      <w:lvlText w:val="◦"/>
      <w:lvlJc w:val="left"/>
      <w:pPr>
        <w:ind w:left="0" w:firstLine="0"/>
      </w:pPr>
      <w:rPr>
        <w:rFonts w:ascii="OpenSymbol" w:eastAsia="OpenSymbol" w:hAnsi="OpenSymbol" w:cs="OpenSymbol"/>
      </w:rPr>
    </w:lvl>
    <w:lvl w:ilvl="5">
      <w:numFmt w:val="bullet"/>
      <w:lvlText w:val="▪"/>
      <w:lvlJc w:val="left"/>
      <w:pPr>
        <w:ind w:left="0" w:firstLine="0"/>
      </w:pPr>
      <w:rPr>
        <w:rFonts w:ascii="OpenSymbol" w:eastAsia="OpenSymbol" w:hAnsi="OpenSymbol" w:cs="OpenSymbol"/>
      </w:rPr>
    </w:lvl>
    <w:lvl w:ilvl="6">
      <w:numFmt w:val="bullet"/>
      <w:lvlText w:val="•"/>
      <w:lvlJc w:val="left"/>
      <w:pPr>
        <w:ind w:left="0" w:firstLine="0"/>
      </w:pPr>
      <w:rPr>
        <w:rFonts w:ascii="OpenSymbol" w:eastAsia="OpenSymbol" w:hAnsi="OpenSymbol" w:cs="OpenSymbol"/>
      </w:rPr>
    </w:lvl>
    <w:lvl w:ilvl="7">
      <w:numFmt w:val="bullet"/>
      <w:lvlText w:val="◦"/>
      <w:lvlJc w:val="left"/>
      <w:pPr>
        <w:ind w:left="0" w:firstLine="0"/>
      </w:pPr>
      <w:rPr>
        <w:rFonts w:ascii="OpenSymbol" w:eastAsia="OpenSymbol" w:hAnsi="OpenSymbol" w:cs="OpenSymbol"/>
      </w:rPr>
    </w:lvl>
    <w:lvl w:ilvl="8">
      <w:numFmt w:val="bullet"/>
      <w:lvlText w:val="▪"/>
      <w:lvlJc w:val="left"/>
      <w:pPr>
        <w:ind w:left="0" w:firstLine="0"/>
      </w:pPr>
      <w:rPr>
        <w:rFonts w:ascii="OpenSymbol" w:eastAsia="OpenSymbol" w:hAnsi="OpenSymbol" w:cs="OpenSymbol"/>
      </w:rPr>
    </w:lvl>
  </w:abstractNum>
  <w:abstractNum w:abstractNumId="22" w15:restartNumberingAfterBreak="0">
    <w:nsid w:val="5CEB6F98"/>
    <w:multiLevelType w:val="hybridMultilevel"/>
    <w:tmpl w:val="EB5A85B8"/>
    <w:lvl w:ilvl="0" w:tplc="99A48EA0">
      <w:numFmt w:val="bullet"/>
      <w:lvlText w:val="-"/>
      <w:lvlJc w:val="left"/>
      <w:pPr>
        <w:ind w:left="720" w:hanging="360"/>
      </w:pPr>
      <w:rPr>
        <w:rFonts w:ascii="Calibri" w:eastAsia="Times New Roman" w:hAnsi="Calibri" w:cs="Times New Roman"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23" w15:restartNumberingAfterBreak="0">
    <w:nsid w:val="5EC3321A"/>
    <w:multiLevelType w:val="multilevel"/>
    <w:tmpl w:val="80301328"/>
    <w:lvl w:ilvl="0">
      <w:numFmt w:val="bullet"/>
      <w:lvlText w:val="•"/>
      <w:lvlJc w:val="left"/>
      <w:pPr>
        <w:ind w:left="284" w:firstLine="0"/>
      </w:pPr>
      <w:rPr>
        <w:rFonts w:ascii="OpenSymbol" w:eastAsia="OpenSymbol" w:hAnsi="OpenSymbol" w:cs="OpenSymbol"/>
      </w:rPr>
    </w:lvl>
    <w:lvl w:ilvl="1">
      <w:numFmt w:val="bullet"/>
      <w:lvlText w:val="◦"/>
      <w:lvlJc w:val="left"/>
      <w:pPr>
        <w:ind w:left="284" w:firstLine="0"/>
      </w:pPr>
      <w:rPr>
        <w:rFonts w:ascii="OpenSymbol" w:eastAsia="OpenSymbol" w:hAnsi="OpenSymbol" w:cs="OpenSymbol"/>
      </w:rPr>
    </w:lvl>
    <w:lvl w:ilvl="2">
      <w:numFmt w:val="bullet"/>
      <w:lvlText w:val="▪"/>
      <w:lvlJc w:val="left"/>
      <w:pPr>
        <w:ind w:left="284" w:firstLine="0"/>
      </w:pPr>
      <w:rPr>
        <w:rFonts w:ascii="OpenSymbol" w:eastAsia="OpenSymbol" w:hAnsi="OpenSymbol" w:cs="OpenSymbol"/>
      </w:rPr>
    </w:lvl>
    <w:lvl w:ilvl="3">
      <w:numFmt w:val="bullet"/>
      <w:lvlText w:val="•"/>
      <w:lvlJc w:val="left"/>
      <w:pPr>
        <w:ind w:left="284" w:firstLine="0"/>
      </w:pPr>
      <w:rPr>
        <w:rFonts w:ascii="OpenSymbol" w:eastAsia="OpenSymbol" w:hAnsi="OpenSymbol" w:cs="OpenSymbol"/>
      </w:rPr>
    </w:lvl>
    <w:lvl w:ilvl="4">
      <w:numFmt w:val="bullet"/>
      <w:lvlText w:val="◦"/>
      <w:lvlJc w:val="left"/>
      <w:pPr>
        <w:ind w:left="284" w:firstLine="0"/>
      </w:pPr>
      <w:rPr>
        <w:rFonts w:ascii="OpenSymbol" w:eastAsia="OpenSymbol" w:hAnsi="OpenSymbol" w:cs="OpenSymbol"/>
      </w:rPr>
    </w:lvl>
    <w:lvl w:ilvl="5">
      <w:numFmt w:val="bullet"/>
      <w:lvlText w:val="▪"/>
      <w:lvlJc w:val="left"/>
      <w:pPr>
        <w:ind w:left="284" w:firstLine="0"/>
      </w:pPr>
      <w:rPr>
        <w:rFonts w:ascii="OpenSymbol" w:eastAsia="OpenSymbol" w:hAnsi="OpenSymbol" w:cs="OpenSymbol"/>
      </w:rPr>
    </w:lvl>
    <w:lvl w:ilvl="6">
      <w:numFmt w:val="bullet"/>
      <w:lvlText w:val="•"/>
      <w:lvlJc w:val="left"/>
      <w:pPr>
        <w:ind w:left="284" w:firstLine="0"/>
      </w:pPr>
      <w:rPr>
        <w:rFonts w:ascii="OpenSymbol" w:eastAsia="OpenSymbol" w:hAnsi="OpenSymbol" w:cs="OpenSymbol"/>
      </w:rPr>
    </w:lvl>
    <w:lvl w:ilvl="7">
      <w:numFmt w:val="bullet"/>
      <w:lvlText w:val="◦"/>
      <w:lvlJc w:val="left"/>
      <w:pPr>
        <w:ind w:left="284" w:firstLine="0"/>
      </w:pPr>
      <w:rPr>
        <w:rFonts w:ascii="OpenSymbol" w:eastAsia="OpenSymbol" w:hAnsi="OpenSymbol" w:cs="OpenSymbol"/>
      </w:rPr>
    </w:lvl>
    <w:lvl w:ilvl="8">
      <w:numFmt w:val="bullet"/>
      <w:lvlText w:val="▪"/>
      <w:lvlJc w:val="left"/>
      <w:pPr>
        <w:ind w:left="284" w:firstLine="0"/>
      </w:pPr>
      <w:rPr>
        <w:rFonts w:ascii="OpenSymbol" w:eastAsia="OpenSymbol" w:hAnsi="OpenSymbol" w:cs="OpenSymbol"/>
      </w:rPr>
    </w:lvl>
  </w:abstractNum>
  <w:abstractNum w:abstractNumId="24" w15:restartNumberingAfterBreak="0">
    <w:nsid w:val="5F6F01D8"/>
    <w:multiLevelType w:val="hybridMultilevel"/>
    <w:tmpl w:val="25F6C994"/>
    <w:lvl w:ilvl="0" w:tplc="99A48EA0">
      <w:numFmt w:val="bullet"/>
      <w:lvlText w:val="-"/>
      <w:lvlJc w:val="left"/>
      <w:pPr>
        <w:ind w:left="1789" w:hanging="360"/>
      </w:pPr>
      <w:rPr>
        <w:rFonts w:ascii="Calibri" w:eastAsia="Times New Roman" w:hAnsi="Calibri" w:hint="default"/>
      </w:rPr>
    </w:lvl>
    <w:lvl w:ilvl="1" w:tplc="0C0A0003" w:tentative="1">
      <w:start w:val="1"/>
      <w:numFmt w:val="bullet"/>
      <w:lvlText w:val="o"/>
      <w:lvlJc w:val="left"/>
      <w:pPr>
        <w:ind w:left="2509" w:hanging="360"/>
      </w:pPr>
      <w:rPr>
        <w:rFonts w:ascii="Courier New" w:hAnsi="Courier New" w:hint="default"/>
      </w:rPr>
    </w:lvl>
    <w:lvl w:ilvl="2" w:tplc="0C0A0005" w:tentative="1">
      <w:start w:val="1"/>
      <w:numFmt w:val="bullet"/>
      <w:lvlText w:val=""/>
      <w:lvlJc w:val="left"/>
      <w:pPr>
        <w:ind w:left="3229" w:hanging="360"/>
      </w:pPr>
      <w:rPr>
        <w:rFonts w:ascii="Wingdings" w:hAnsi="Wingdings" w:hint="default"/>
      </w:rPr>
    </w:lvl>
    <w:lvl w:ilvl="3" w:tplc="0C0A0001" w:tentative="1">
      <w:start w:val="1"/>
      <w:numFmt w:val="bullet"/>
      <w:lvlText w:val=""/>
      <w:lvlJc w:val="left"/>
      <w:pPr>
        <w:ind w:left="3949" w:hanging="360"/>
      </w:pPr>
      <w:rPr>
        <w:rFonts w:ascii="Symbol" w:hAnsi="Symbol" w:hint="default"/>
      </w:rPr>
    </w:lvl>
    <w:lvl w:ilvl="4" w:tplc="0C0A0003" w:tentative="1">
      <w:start w:val="1"/>
      <w:numFmt w:val="bullet"/>
      <w:lvlText w:val="o"/>
      <w:lvlJc w:val="left"/>
      <w:pPr>
        <w:ind w:left="4669" w:hanging="360"/>
      </w:pPr>
      <w:rPr>
        <w:rFonts w:ascii="Courier New" w:hAnsi="Courier New" w:hint="default"/>
      </w:rPr>
    </w:lvl>
    <w:lvl w:ilvl="5" w:tplc="0C0A0005" w:tentative="1">
      <w:start w:val="1"/>
      <w:numFmt w:val="bullet"/>
      <w:lvlText w:val=""/>
      <w:lvlJc w:val="left"/>
      <w:pPr>
        <w:ind w:left="5389" w:hanging="360"/>
      </w:pPr>
      <w:rPr>
        <w:rFonts w:ascii="Wingdings" w:hAnsi="Wingdings" w:hint="default"/>
      </w:rPr>
    </w:lvl>
    <w:lvl w:ilvl="6" w:tplc="0C0A0001" w:tentative="1">
      <w:start w:val="1"/>
      <w:numFmt w:val="bullet"/>
      <w:lvlText w:val=""/>
      <w:lvlJc w:val="left"/>
      <w:pPr>
        <w:ind w:left="6109" w:hanging="360"/>
      </w:pPr>
      <w:rPr>
        <w:rFonts w:ascii="Symbol" w:hAnsi="Symbol" w:hint="default"/>
      </w:rPr>
    </w:lvl>
    <w:lvl w:ilvl="7" w:tplc="0C0A0003" w:tentative="1">
      <w:start w:val="1"/>
      <w:numFmt w:val="bullet"/>
      <w:lvlText w:val="o"/>
      <w:lvlJc w:val="left"/>
      <w:pPr>
        <w:ind w:left="6829" w:hanging="360"/>
      </w:pPr>
      <w:rPr>
        <w:rFonts w:ascii="Courier New" w:hAnsi="Courier New" w:hint="default"/>
      </w:rPr>
    </w:lvl>
    <w:lvl w:ilvl="8" w:tplc="0C0A0005" w:tentative="1">
      <w:start w:val="1"/>
      <w:numFmt w:val="bullet"/>
      <w:lvlText w:val=""/>
      <w:lvlJc w:val="left"/>
      <w:pPr>
        <w:ind w:left="7549" w:hanging="360"/>
      </w:pPr>
      <w:rPr>
        <w:rFonts w:ascii="Wingdings" w:hAnsi="Wingdings" w:hint="default"/>
      </w:rPr>
    </w:lvl>
  </w:abstractNum>
  <w:abstractNum w:abstractNumId="25" w15:restartNumberingAfterBreak="0">
    <w:nsid w:val="6ACC6909"/>
    <w:multiLevelType w:val="hybridMultilevel"/>
    <w:tmpl w:val="2F0E74EC"/>
    <w:lvl w:ilvl="0" w:tplc="0C0A0001">
      <w:start w:val="1"/>
      <w:numFmt w:val="bullet"/>
      <w:lvlText w:val=""/>
      <w:lvlJc w:val="left"/>
      <w:pPr>
        <w:ind w:left="1571" w:hanging="360"/>
      </w:pPr>
      <w:rPr>
        <w:rFonts w:ascii="Symbol" w:hAnsi="Symbol" w:hint="default"/>
      </w:rPr>
    </w:lvl>
    <w:lvl w:ilvl="1" w:tplc="0C0A0003">
      <w:start w:val="1"/>
      <w:numFmt w:val="bullet"/>
      <w:lvlText w:val="o"/>
      <w:lvlJc w:val="left"/>
      <w:pPr>
        <w:ind w:left="2291" w:hanging="360"/>
      </w:pPr>
      <w:rPr>
        <w:rFonts w:ascii="Courier New" w:hAnsi="Courier New" w:cs="Times New Roman" w:hint="default"/>
      </w:rPr>
    </w:lvl>
    <w:lvl w:ilvl="2" w:tplc="0C0A0005">
      <w:start w:val="1"/>
      <w:numFmt w:val="bullet"/>
      <w:lvlText w:val=""/>
      <w:lvlJc w:val="left"/>
      <w:pPr>
        <w:ind w:left="3011" w:hanging="360"/>
      </w:pPr>
      <w:rPr>
        <w:rFonts w:ascii="Wingdings" w:hAnsi="Wingdings" w:hint="default"/>
      </w:rPr>
    </w:lvl>
    <w:lvl w:ilvl="3" w:tplc="0C0A0001">
      <w:start w:val="1"/>
      <w:numFmt w:val="bullet"/>
      <w:lvlText w:val=""/>
      <w:lvlJc w:val="left"/>
      <w:pPr>
        <w:ind w:left="3731" w:hanging="360"/>
      </w:pPr>
      <w:rPr>
        <w:rFonts w:ascii="Symbol" w:hAnsi="Symbol" w:hint="default"/>
      </w:rPr>
    </w:lvl>
    <w:lvl w:ilvl="4" w:tplc="0C0A0003">
      <w:start w:val="1"/>
      <w:numFmt w:val="bullet"/>
      <w:lvlText w:val="o"/>
      <w:lvlJc w:val="left"/>
      <w:pPr>
        <w:ind w:left="4451" w:hanging="360"/>
      </w:pPr>
      <w:rPr>
        <w:rFonts w:ascii="Courier New" w:hAnsi="Courier New" w:cs="Times New Roman" w:hint="default"/>
      </w:rPr>
    </w:lvl>
    <w:lvl w:ilvl="5" w:tplc="0C0A0005">
      <w:start w:val="1"/>
      <w:numFmt w:val="bullet"/>
      <w:lvlText w:val=""/>
      <w:lvlJc w:val="left"/>
      <w:pPr>
        <w:ind w:left="5171" w:hanging="360"/>
      </w:pPr>
      <w:rPr>
        <w:rFonts w:ascii="Wingdings" w:hAnsi="Wingdings" w:hint="default"/>
      </w:rPr>
    </w:lvl>
    <w:lvl w:ilvl="6" w:tplc="0C0A0001">
      <w:start w:val="1"/>
      <w:numFmt w:val="bullet"/>
      <w:lvlText w:val=""/>
      <w:lvlJc w:val="left"/>
      <w:pPr>
        <w:ind w:left="5891" w:hanging="360"/>
      </w:pPr>
      <w:rPr>
        <w:rFonts w:ascii="Symbol" w:hAnsi="Symbol" w:hint="default"/>
      </w:rPr>
    </w:lvl>
    <w:lvl w:ilvl="7" w:tplc="0C0A0003">
      <w:start w:val="1"/>
      <w:numFmt w:val="bullet"/>
      <w:lvlText w:val="o"/>
      <w:lvlJc w:val="left"/>
      <w:pPr>
        <w:ind w:left="6611" w:hanging="360"/>
      </w:pPr>
      <w:rPr>
        <w:rFonts w:ascii="Courier New" w:hAnsi="Courier New" w:cs="Times New Roman" w:hint="default"/>
      </w:rPr>
    </w:lvl>
    <w:lvl w:ilvl="8" w:tplc="0C0A0005">
      <w:start w:val="1"/>
      <w:numFmt w:val="bullet"/>
      <w:lvlText w:val=""/>
      <w:lvlJc w:val="left"/>
      <w:pPr>
        <w:ind w:left="7331" w:hanging="360"/>
      </w:pPr>
      <w:rPr>
        <w:rFonts w:ascii="Wingdings" w:hAnsi="Wingdings" w:hint="default"/>
      </w:rPr>
    </w:lvl>
  </w:abstractNum>
  <w:abstractNum w:abstractNumId="26" w15:restartNumberingAfterBreak="0">
    <w:nsid w:val="6D8C5149"/>
    <w:multiLevelType w:val="hybridMultilevel"/>
    <w:tmpl w:val="0C88240C"/>
    <w:lvl w:ilvl="0" w:tplc="57B8C010">
      <w:start w:val="1"/>
      <w:numFmt w:val="decimal"/>
      <w:lvlText w:val="ALEGACIÓN %1.- "/>
      <w:lvlJc w:val="left"/>
      <w:pPr>
        <w:ind w:left="1637" w:hanging="360"/>
      </w:pPr>
      <w:rPr>
        <w:rFonts w:hint="default"/>
        <w:b/>
      </w:rPr>
    </w:lvl>
    <w:lvl w:ilvl="1" w:tplc="0C0A0019" w:tentative="1">
      <w:start w:val="1"/>
      <w:numFmt w:val="lowerLetter"/>
      <w:lvlText w:val="%2."/>
      <w:lvlJc w:val="left"/>
      <w:pPr>
        <w:ind w:left="8385" w:hanging="360"/>
      </w:pPr>
    </w:lvl>
    <w:lvl w:ilvl="2" w:tplc="0C0A001B" w:tentative="1">
      <w:start w:val="1"/>
      <w:numFmt w:val="lowerRoman"/>
      <w:lvlText w:val="%3."/>
      <w:lvlJc w:val="right"/>
      <w:pPr>
        <w:ind w:left="9105" w:hanging="180"/>
      </w:pPr>
    </w:lvl>
    <w:lvl w:ilvl="3" w:tplc="0C0A000F" w:tentative="1">
      <w:start w:val="1"/>
      <w:numFmt w:val="decimal"/>
      <w:lvlText w:val="%4."/>
      <w:lvlJc w:val="left"/>
      <w:pPr>
        <w:ind w:left="9825" w:hanging="360"/>
      </w:pPr>
    </w:lvl>
    <w:lvl w:ilvl="4" w:tplc="0C0A0019" w:tentative="1">
      <w:start w:val="1"/>
      <w:numFmt w:val="lowerLetter"/>
      <w:lvlText w:val="%5."/>
      <w:lvlJc w:val="left"/>
      <w:pPr>
        <w:ind w:left="10545" w:hanging="360"/>
      </w:pPr>
    </w:lvl>
    <w:lvl w:ilvl="5" w:tplc="0C0A001B" w:tentative="1">
      <w:start w:val="1"/>
      <w:numFmt w:val="lowerRoman"/>
      <w:lvlText w:val="%6."/>
      <w:lvlJc w:val="right"/>
      <w:pPr>
        <w:ind w:left="11265" w:hanging="180"/>
      </w:pPr>
    </w:lvl>
    <w:lvl w:ilvl="6" w:tplc="0C0A000F" w:tentative="1">
      <w:start w:val="1"/>
      <w:numFmt w:val="decimal"/>
      <w:lvlText w:val="%7."/>
      <w:lvlJc w:val="left"/>
      <w:pPr>
        <w:ind w:left="11985" w:hanging="360"/>
      </w:pPr>
    </w:lvl>
    <w:lvl w:ilvl="7" w:tplc="0C0A0019" w:tentative="1">
      <w:start w:val="1"/>
      <w:numFmt w:val="lowerLetter"/>
      <w:lvlText w:val="%8."/>
      <w:lvlJc w:val="left"/>
      <w:pPr>
        <w:ind w:left="12705" w:hanging="360"/>
      </w:pPr>
    </w:lvl>
    <w:lvl w:ilvl="8" w:tplc="0C0A001B" w:tentative="1">
      <w:start w:val="1"/>
      <w:numFmt w:val="lowerRoman"/>
      <w:lvlText w:val="%9."/>
      <w:lvlJc w:val="right"/>
      <w:pPr>
        <w:ind w:left="13425" w:hanging="180"/>
      </w:pPr>
    </w:lvl>
  </w:abstractNum>
  <w:abstractNum w:abstractNumId="27" w15:restartNumberingAfterBreak="0">
    <w:nsid w:val="749C51D0"/>
    <w:multiLevelType w:val="multilevel"/>
    <w:tmpl w:val="AB7AD81E"/>
    <w:lvl w:ilvl="0">
      <w:numFmt w:val="bullet"/>
      <w:lvlText w:val="•"/>
      <w:lvlJc w:val="left"/>
      <w:pPr>
        <w:ind w:left="0" w:firstLine="0"/>
      </w:pPr>
      <w:rPr>
        <w:rFonts w:ascii="OpenSymbol" w:eastAsia="OpenSymbol" w:hAnsi="OpenSymbol" w:cs="OpenSymbol"/>
      </w:rPr>
    </w:lvl>
    <w:lvl w:ilvl="1">
      <w:numFmt w:val="bullet"/>
      <w:lvlText w:val="•"/>
      <w:lvlJc w:val="left"/>
      <w:pPr>
        <w:ind w:left="0" w:firstLine="0"/>
      </w:pPr>
      <w:rPr>
        <w:rFonts w:ascii="OpenSymbol" w:eastAsia="OpenSymbol" w:hAnsi="OpenSymbol" w:cs="OpenSymbol"/>
      </w:r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28" w15:restartNumberingAfterBreak="0">
    <w:nsid w:val="76946C83"/>
    <w:multiLevelType w:val="hybridMultilevel"/>
    <w:tmpl w:val="68829D96"/>
    <w:lvl w:ilvl="0" w:tplc="61DC9CD4">
      <w:start w:val="29"/>
      <w:numFmt w:val="decimal"/>
      <w:lvlText w:val="ALEGACIÓN %1.- "/>
      <w:lvlJc w:val="left"/>
      <w:pPr>
        <w:ind w:left="1637"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77BC3673"/>
    <w:multiLevelType w:val="multilevel"/>
    <w:tmpl w:val="189EAD3C"/>
    <w:styleLink w:val="RTFNum7"/>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Arial Unicode MS'" w:eastAsia="OpenSymbol, 'Arial Unicode MS'" w:hAnsi="OpenSymbol, 'Arial Unicode MS'" w:cs="OpenSymbol, 'Arial Unicode MS'"/>
      </w:rPr>
    </w:lvl>
    <w:lvl w:ilvl="2">
      <w:numFmt w:val="bullet"/>
      <w:lvlText w:val="–"/>
      <w:lvlJc w:val="left"/>
      <w:pPr>
        <w:ind w:left="1440" w:hanging="360"/>
      </w:pPr>
      <w:rPr>
        <w:rFonts w:ascii="OpenSymbol, 'Arial Unicode MS'" w:eastAsia="OpenSymbol, 'Arial Unicode MS'" w:hAnsi="OpenSymbol, 'Arial Unicode MS'" w:cs="OpenSymbol, 'Arial Unicode MS'"/>
      </w:rPr>
    </w:lvl>
    <w:lvl w:ilvl="3">
      <w:numFmt w:val="bullet"/>
      <w:lvlText w:val="–"/>
      <w:lvlJc w:val="left"/>
      <w:pPr>
        <w:ind w:left="1800" w:hanging="360"/>
      </w:pPr>
      <w:rPr>
        <w:rFonts w:ascii="OpenSymbol, 'Arial Unicode MS'" w:eastAsia="OpenSymbol, 'Arial Unicode MS'" w:hAnsi="OpenSymbol, 'Arial Unicode MS'" w:cs="OpenSymbol, 'Arial Unicode MS'"/>
      </w:rPr>
    </w:lvl>
    <w:lvl w:ilvl="4">
      <w:numFmt w:val="bullet"/>
      <w:lvlText w:val="–"/>
      <w:lvlJc w:val="left"/>
      <w:pPr>
        <w:ind w:left="2160" w:hanging="360"/>
      </w:pPr>
      <w:rPr>
        <w:rFonts w:ascii="OpenSymbol, 'Arial Unicode MS'" w:eastAsia="OpenSymbol, 'Arial Unicode MS'" w:hAnsi="OpenSymbol, 'Arial Unicode MS'" w:cs="OpenSymbol, 'Arial Unicode MS'"/>
      </w:rPr>
    </w:lvl>
    <w:lvl w:ilvl="5">
      <w:numFmt w:val="bullet"/>
      <w:lvlText w:val="–"/>
      <w:lvlJc w:val="left"/>
      <w:pPr>
        <w:ind w:left="2520" w:hanging="360"/>
      </w:pPr>
      <w:rPr>
        <w:rFonts w:ascii="OpenSymbol, 'Arial Unicode MS'" w:eastAsia="OpenSymbol, 'Arial Unicode MS'" w:hAnsi="OpenSymbol, 'Arial Unicode MS'" w:cs="OpenSymbol, 'Arial Unicode MS'"/>
      </w:rPr>
    </w:lvl>
    <w:lvl w:ilvl="6">
      <w:numFmt w:val="bullet"/>
      <w:lvlText w:val="–"/>
      <w:lvlJc w:val="left"/>
      <w:pPr>
        <w:ind w:left="2880" w:hanging="360"/>
      </w:pPr>
      <w:rPr>
        <w:rFonts w:ascii="OpenSymbol, 'Arial Unicode MS'" w:eastAsia="OpenSymbol, 'Arial Unicode MS'" w:hAnsi="OpenSymbol, 'Arial Unicode MS'" w:cs="OpenSymbol, 'Arial Unicode MS'"/>
      </w:rPr>
    </w:lvl>
    <w:lvl w:ilvl="7">
      <w:numFmt w:val="bullet"/>
      <w:lvlText w:val="–"/>
      <w:lvlJc w:val="left"/>
      <w:pPr>
        <w:ind w:left="3240" w:hanging="360"/>
      </w:pPr>
      <w:rPr>
        <w:rFonts w:ascii="OpenSymbol, 'Arial Unicode MS'" w:eastAsia="OpenSymbol, 'Arial Unicode MS'" w:hAnsi="OpenSymbol, 'Arial Unicode MS'" w:cs="OpenSymbol, 'Arial Unicode MS'"/>
      </w:rPr>
    </w:lvl>
    <w:lvl w:ilvl="8">
      <w:numFmt w:val="bullet"/>
      <w:lvlText w:val="–"/>
      <w:lvlJc w:val="left"/>
      <w:pPr>
        <w:ind w:left="3600" w:hanging="360"/>
      </w:pPr>
      <w:rPr>
        <w:rFonts w:ascii="OpenSymbol, 'Arial Unicode MS'" w:eastAsia="OpenSymbol, 'Arial Unicode MS'" w:hAnsi="OpenSymbol, 'Arial Unicode MS'" w:cs="OpenSymbol, 'Arial Unicode MS'"/>
      </w:rPr>
    </w:lvl>
  </w:abstractNum>
  <w:abstractNum w:abstractNumId="30" w15:restartNumberingAfterBreak="0">
    <w:nsid w:val="786930DE"/>
    <w:multiLevelType w:val="multilevel"/>
    <w:tmpl w:val="C4D01912"/>
    <w:lvl w:ilvl="0">
      <w:numFmt w:val="bullet"/>
      <w:lvlText w:val="•"/>
      <w:lvlJc w:val="left"/>
      <w:pPr>
        <w:ind w:left="566" w:firstLine="0"/>
      </w:pPr>
      <w:rPr>
        <w:rFonts w:ascii="OpenSymbol" w:eastAsia="OpenSymbol" w:hAnsi="OpenSymbol" w:cs="OpenSymbol"/>
      </w:rPr>
    </w:lvl>
    <w:lvl w:ilvl="1">
      <w:numFmt w:val="bullet"/>
      <w:lvlText w:val="◦"/>
      <w:lvlJc w:val="left"/>
      <w:pPr>
        <w:ind w:left="566" w:firstLine="0"/>
      </w:pPr>
      <w:rPr>
        <w:rFonts w:ascii="OpenSymbol" w:eastAsia="OpenSymbol" w:hAnsi="OpenSymbol" w:cs="OpenSymbol"/>
      </w:rPr>
    </w:lvl>
    <w:lvl w:ilvl="2">
      <w:numFmt w:val="bullet"/>
      <w:lvlText w:val="▪"/>
      <w:lvlJc w:val="left"/>
      <w:pPr>
        <w:ind w:left="566" w:firstLine="0"/>
      </w:pPr>
      <w:rPr>
        <w:rFonts w:ascii="OpenSymbol" w:eastAsia="OpenSymbol" w:hAnsi="OpenSymbol" w:cs="OpenSymbol"/>
      </w:rPr>
    </w:lvl>
    <w:lvl w:ilvl="3">
      <w:numFmt w:val="bullet"/>
      <w:lvlText w:val="•"/>
      <w:lvlJc w:val="left"/>
      <w:pPr>
        <w:ind w:left="566" w:firstLine="0"/>
      </w:pPr>
      <w:rPr>
        <w:rFonts w:ascii="OpenSymbol" w:eastAsia="OpenSymbol" w:hAnsi="OpenSymbol" w:cs="OpenSymbol"/>
      </w:rPr>
    </w:lvl>
    <w:lvl w:ilvl="4">
      <w:numFmt w:val="bullet"/>
      <w:lvlText w:val="◦"/>
      <w:lvlJc w:val="left"/>
      <w:pPr>
        <w:ind w:left="566" w:firstLine="0"/>
      </w:pPr>
      <w:rPr>
        <w:rFonts w:ascii="OpenSymbol" w:eastAsia="OpenSymbol" w:hAnsi="OpenSymbol" w:cs="OpenSymbol"/>
      </w:rPr>
    </w:lvl>
    <w:lvl w:ilvl="5">
      <w:numFmt w:val="bullet"/>
      <w:lvlText w:val="▪"/>
      <w:lvlJc w:val="left"/>
      <w:pPr>
        <w:ind w:left="566" w:firstLine="0"/>
      </w:pPr>
      <w:rPr>
        <w:rFonts w:ascii="OpenSymbol" w:eastAsia="OpenSymbol" w:hAnsi="OpenSymbol" w:cs="OpenSymbol"/>
      </w:rPr>
    </w:lvl>
    <w:lvl w:ilvl="6">
      <w:numFmt w:val="bullet"/>
      <w:lvlText w:val="•"/>
      <w:lvlJc w:val="left"/>
      <w:pPr>
        <w:ind w:left="566" w:firstLine="0"/>
      </w:pPr>
      <w:rPr>
        <w:rFonts w:ascii="OpenSymbol" w:eastAsia="OpenSymbol" w:hAnsi="OpenSymbol" w:cs="OpenSymbol"/>
      </w:rPr>
    </w:lvl>
    <w:lvl w:ilvl="7">
      <w:numFmt w:val="bullet"/>
      <w:lvlText w:val="◦"/>
      <w:lvlJc w:val="left"/>
      <w:pPr>
        <w:ind w:left="566" w:firstLine="0"/>
      </w:pPr>
      <w:rPr>
        <w:rFonts w:ascii="OpenSymbol" w:eastAsia="OpenSymbol" w:hAnsi="OpenSymbol" w:cs="OpenSymbol"/>
      </w:rPr>
    </w:lvl>
    <w:lvl w:ilvl="8">
      <w:numFmt w:val="bullet"/>
      <w:lvlText w:val="▪"/>
      <w:lvlJc w:val="left"/>
      <w:pPr>
        <w:ind w:left="566" w:firstLine="0"/>
      </w:pPr>
      <w:rPr>
        <w:rFonts w:ascii="OpenSymbol" w:eastAsia="OpenSymbol" w:hAnsi="OpenSymbol" w:cs="OpenSymbol"/>
      </w:rPr>
    </w:lvl>
  </w:abstractNum>
  <w:abstractNum w:abstractNumId="31" w15:restartNumberingAfterBreak="0">
    <w:nsid w:val="78EF3CEE"/>
    <w:multiLevelType w:val="multilevel"/>
    <w:tmpl w:val="5C8E0AC8"/>
    <w:lvl w:ilvl="0">
      <w:numFmt w:val="bullet"/>
      <w:lvlText w:val="•"/>
      <w:lvlJc w:val="left"/>
      <w:pPr>
        <w:ind w:left="567" w:firstLine="0"/>
      </w:pPr>
      <w:rPr>
        <w:rFonts w:ascii="OpenSymbol" w:eastAsia="OpenSymbol" w:hAnsi="OpenSymbol" w:cs="OpenSymbol"/>
      </w:rPr>
    </w:lvl>
    <w:lvl w:ilvl="1">
      <w:numFmt w:val="bullet"/>
      <w:lvlText w:val="◦"/>
      <w:lvlJc w:val="left"/>
      <w:pPr>
        <w:ind w:left="567" w:firstLine="0"/>
      </w:pPr>
      <w:rPr>
        <w:rFonts w:ascii="OpenSymbol" w:eastAsia="OpenSymbol" w:hAnsi="OpenSymbol" w:cs="OpenSymbol"/>
      </w:rPr>
    </w:lvl>
    <w:lvl w:ilvl="2">
      <w:numFmt w:val="bullet"/>
      <w:lvlText w:val="▪"/>
      <w:lvlJc w:val="left"/>
      <w:pPr>
        <w:ind w:left="567" w:firstLine="0"/>
      </w:pPr>
      <w:rPr>
        <w:rFonts w:ascii="OpenSymbol" w:eastAsia="OpenSymbol" w:hAnsi="OpenSymbol" w:cs="OpenSymbol"/>
      </w:rPr>
    </w:lvl>
    <w:lvl w:ilvl="3">
      <w:numFmt w:val="bullet"/>
      <w:lvlText w:val="•"/>
      <w:lvlJc w:val="left"/>
      <w:pPr>
        <w:ind w:left="567" w:firstLine="0"/>
      </w:pPr>
      <w:rPr>
        <w:rFonts w:ascii="OpenSymbol" w:eastAsia="OpenSymbol" w:hAnsi="OpenSymbol" w:cs="OpenSymbol"/>
      </w:rPr>
    </w:lvl>
    <w:lvl w:ilvl="4">
      <w:numFmt w:val="bullet"/>
      <w:lvlText w:val="◦"/>
      <w:lvlJc w:val="left"/>
      <w:pPr>
        <w:ind w:left="567" w:firstLine="0"/>
      </w:pPr>
      <w:rPr>
        <w:rFonts w:ascii="OpenSymbol" w:eastAsia="OpenSymbol" w:hAnsi="OpenSymbol" w:cs="OpenSymbol"/>
      </w:rPr>
    </w:lvl>
    <w:lvl w:ilvl="5">
      <w:numFmt w:val="bullet"/>
      <w:lvlText w:val="▪"/>
      <w:lvlJc w:val="left"/>
      <w:pPr>
        <w:ind w:left="567" w:firstLine="0"/>
      </w:pPr>
      <w:rPr>
        <w:rFonts w:ascii="OpenSymbol" w:eastAsia="OpenSymbol" w:hAnsi="OpenSymbol" w:cs="OpenSymbol"/>
      </w:rPr>
    </w:lvl>
    <w:lvl w:ilvl="6">
      <w:numFmt w:val="bullet"/>
      <w:lvlText w:val="•"/>
      <w:lvlJc w:val="left"/>
      <w:pPr>
        <w:ind w:left="567" w:firstLine="0"/>
      </w:pPr>
      <w:rPr>
        <w:rFonts w:ascii="OpenSymbol" w:eastAsia="OpenSymbol" w:hAnsi="OpenSymbol" w:cs="OpenSymbol"/>
      </w:rPr>
    </w:lvl>
    <w:lvl w:ilvl="7">
      <w:numFmt w:val="bullet"/>
      <w:lvlText w:val="◦"/>
      <w:lvlJc w:val="left"/>
      <w:pPr>
        <w:ind w:left="567" w:firstLine="0"/>
      </w:pPr>
      <w:rPr>
        <w:rFonts w:ascii="OpenSymbol" w:eastAsia="OpenSymbol" w:hAnsi="OpenSymbol" w:cs="OpenSymbol"/>
      </w:rPr>
    </w:lvl>
    <w:lvl w:ilvl="8">
      <w:numFmt w:val="bullet"/>
      <w:lvlText w:val="▪"/>
      <w:lvlJc w:val="left"/>
      <w:pPr>
        <w:ind w:left="567" w:firstLine="0"/>
      </w:pPr>
      <w:rPr>
        <w:rFonts w:ascii="OpenSymbol" w:eastAsia="OpenSymbol" w:hAnsi="OpenSymbol" w:cs="OpenSymbol"/>
      </w:rPr>
    </w:lvl>
  </w:abstractNum>
  <w:abstractNum w:abstractNumId="32" w15:restartNumberingAfterBreak="0">
    <w:nsid w:val="799B7B53"/>
    <w:multiLevelType w:val="hybridMultilevel"/>
    <w:tmpl w:val="F44C94C4"/>
    <w:lvl w:ilvl="0" w:tplc="3C18E496">
      <w:start w:val="24"/>
      <w:numFmt w:val="decimal"/>
      <w:lvlText w:val="ALEGACIÓN %1.- "/>
      <w:lvlJc w:val="left"/>
      <w:pPr>
        <w:ind w:left="1637"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7FA53531"/>
    <w:multiLevelType w:val="multilevel"/>
    <w:tmpl w:val="A8E87D5A"/>
    <w:styleLink w:val="RTFNum3"/>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Arial Unicode MS'" w:eastAsia="OpenSymbol, 'Arial Unicode MS'" w:hAnsi="OpenSymbol, 'Arial Unicode MS'" w:cs="OpenSymbol, 'Arial Unicode MS'"/>
      </w:rPr>
    </w:lvl>
    <w:lvl w:ilvl="2">
      <w:numFmt w:val="bullet"/>
      <w:lvlText w:val="–"/>
      <w:lvlJc w:val="left"/>
      <w:pPr>
        <w:ind w:left="1440" w:hanging="360"/>
      </w:pPr>
      <w:rPr>
        <w:rFonts w:ascii="OpenSymbol, 'Arial Unicode MS'" w:eastAsia="OpenSymbol, 'Arial Unicode MS'" w:hAnsi="OpenSymbol, 'Arial Unicode MS'" w:cs="OpenSymbol, 'Arial Unicode MS'"/>
      </w:rPr>
    </w:lvl>
    <w:lvl w:ilvl="3">
      <w:numFmt w:val="bullet"/>
      <w:lvlText w:val="–"/>
      <w:lvlJc w:val="left"/>
      <w:pPr>
        <w:ind w:left="1800" w:hanging="360"/>
      </w:pPr>
      <w:rPr>
        <w:rFonts w:ascii="OpenSymbol, 'Arial Unicode MS'" w:eastAsia="OpenSymbol, 'Arial Unicode MS'" w:hAnsi="OpenSymbol, 'Arial Unicode MS'" w:cs="OpenSymbol, 'Arial Unicode MS'"/>
      </w:rPr>
    </w:lvl>
    <w:lvl w:ilvl="4">
      <w:numFmt w:val="bullet"/>
      <w:lvlText w:val="–"/>
      <w:lvlJc w:val="left"/>
      <w:pPr>
        <w:ind w:left="2160" w:hanging="360"/>
      </w:pPr>
      <w:rPr>
        <w:rFonts w:ascii="OpenSymbol, 'Arial Unicode MS'" w:eastAsia="OpenSymbol, 'Arial Unicode MS'" w:hAnsi="OpenSymbol, 'Arial Unicode MS'" w:cs="OpenSymbol, 'Arial Unicode MS'"/>
      </w:rPr>
    </w:lvl>
    <w:lvl w:ilvl="5">
      <w:numFmt w:val="bullet"/>
      <w:lvlText w:val="–"/>
      <w:lvlJc w:val="left"/>
      <w:pPr>
        <w:ind w:left="2520" w:hanging="360"/>
      </w:pPr>
      <w:rPr>
        <w:rFonts w:ascii="OpenSymbol, 'Arial Unicode MS'" w:eastAsia="OpenSymbol, 'Arial Unicode MS'" w:hAnsi="OpenSymbol, 'Arial Unicode MS'" w:cs="OpenSymbol, 'Arial Unicode MS'"/>
      </w:rPr>
    </w:lvl>
    <w:lvl w:ilvl="6">
      <w:numFmt w:val="bullet"/>
      <w:lvlText w:val="–"/>
      <w:lvlJc w:val="left"/>
      <w:pPr>
        <w:ind w:left="2880" w:hanging="360"/>
      </w:pPr>
      <w:rPr>
        <w:rFonts w:ascii="OpenSymbol, 'Arial Unicode MS'" w:eastAsia="OpenSymbol, 'Arial Unicode MS'" w:hAnsi="OpenSymbol, 'Arial Unicode MS'" w:cs="OpenSymbol, 'Arial Unicode MS'"/>
      </w:rPr>
    </w:lvl>
    <w:lvl w:ilvl="7">
      <w:numFmt w:val="bullet"/>
      <w:lvlText w:val="–"/>
      <w:lvlJc w:val="left"/>
      <w:pPr>
        <w:ind w:left="3240" w:hanging="360"/>
      </w:pPr>
      <w:rPr>
        <w:rFonts w:ascii="OpenSymbol, 'Arial Unicode MS'" w:eastAsia="OpenSymbol, 'Arial Unicode MS'" w:hAnsi="OpenSymbol, 'Arial Unicode MS'" w:cs="OpenSymbol, 'Arial Unicode MS'"/>
      </w:rPr>
    </w:lvl>
    <w:lvl w:ilvl="8">
      <w:numFmt w:val="bullet"/>
      <w:lvlText w:val="–"/>
      <w:lvlJc w:val="left"/>
      <w:pPr>
        <w:ind w:left="3600" w:hanging="360"/>
      </w:pPr>
      <w:rPr>
        <w:rFonts w:ascii="OpenSymbol, 'Arial Unicode MS'" w:eastAsia="OpenSymbol, 'Arial Unicode MS'" w:hAnsi="OpenSymbol, 'Arial Unicode MS'" w:cs="OpenSymbol, 'Arial Unicode MS'"/>
      </w:rPr>
    </w:lvl>
  </w:abstractNum>
  <w:num w:numId="1">
    <w:abstractNumId w:val="18"/>
  </w:num>
  <w:num w:numId="2">
    <w:abstractNumId w:val="4"/>
  </w:num>
  <w:num w:numId="3">
    <w:abstractNumId w:val="15"/>
  </w:num>
  <w:num w:numId="4">
    <w:abstractNumId w:val="2"/>
  </w:num>
  <w:num w:numId="5">
    <w:abstractNumId w:val="13"/>
  </w:num>
  <w:num w:numId="6">
    <w:abstractNumId w:val="33"/>
  </w:num>
  <w:num w:numId="7">
    <w:abstractNumId w:val="11"/>
  </w:num>
  <w:num w:numId="8">
    <w:abstractNumId w:val="20"/>
  </w:num>
  <w:num w:numId="9">
    <w:abstractNumId w:val="10"/>
  </w:num>
  <w:num w:numId="10">
    <w:abstractNumId w:val="29"/>
  </w:num>
  <w:num w:numId="11">
    <w:abstractNumId w:val="17"/>
  </w:num>
  <w:num w:numId="12">
    <w:abstractNumId w:val="14"/>
  </w:num>
  <w:num w:numId="13">
    <w:abstractNumId w:val="0"/>
  </w:num>
  <w:num w:numId="14">
    <w:abstractNumId w:val="31"/>
  </w:num>
  <w:num w:numId="15">
    <w:abstractNumId w:val="21"/>
  </w:num>
  <w:num w:numId="16">
    <w:abstractNumId w:val="16"/>
  </w:num>
  <w:num w:numId="17">
    <w:abstractNumId w:val="30"/>
  </w:num>
  <w:num w:numId="18">
    <w:abstractNumId w:val="23"/>
  </w:num>
  <w:num w:numId="19">
    <w:abstractNumId w:val="7"/>
  </w:num>
  <w:num w:numId="20">
    <w:abstractNumId w:val="27"/>
  </w:num>
  <w:num w:numId="21">
    <w:abstractNumId w:val="22"/>
  </w:num>
  <w:num w:numId="22">
    <w:abstractNumId w:val="25"/>
  </w:num>
  <w:num w:numId="23">
    <w:abstractNumId w:val="5"/>
  </w:num>
  <w:num w:numId="24">
    <w:abstractNumId w:val="24"/>
  </w:num>
  <w:num w:numId="25">
    <w:abstractNumId w:val="19"/>
  </w:num>
  <w:num w:numId="26">
    <w:abstractNumId w:val="9"/>
  </w:num>
  <w:num w:numId="27">
    <w:abstractNumId w:val="12"/>
  </w:num>
  <w:num w:numId="28">
    <w:abstractNumId w:val="8"/>
  </w:num>
  <w:num w:numId="29">
    <w:abstractNumId w:val="6"/>
  </w:num>
  <w:num w:numId="30">
    <w:abstractNumId w:val="32"/>
  </w:num>
  <w:num w:numId="31">
    <w:abstractNumId w:val="28"/>
  </w:num>
  <w:num w:numId="32">
    <w:abstractNumId w:val="26"/>
  </w:num>
  <w:num w:numId="33">
    <w:abstractNumId w:val="1"/>
  </w:num>
  <w:num w:numId="3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9"/>
  </w:num>
  <w:num w:numId="36">
    <w:abstractNumId w:val="15"/>
  </w:num>
  <w:num w:numId="37">
    <w:abstractNumId w:val="22"/>
  </w:num>
  <w:num w:numId="38">
    <w:abstractNumId w:val="25"/>
  </w:num>
  <w:num w:numId="39">
    <w:abstractNumId w:val="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5"/>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1622F"/>
    <w:rsid w:val="000009EB"/>
    <w:rsid w:val="000016CC"/>
    <w:rsid w:val="00005063"/>
    <w:rsid w:val="00007311"/>
    <w:rsid w:val="00007511"/>
    <w:rsid w:val="000121F1"/>
    <w:rsid w:val="0002045A"/>
    <w:rsid w:val="0002159C"/>
    <w:rsid w:val="00022D13"/>
    <w:rsid w:val="000268AF"/>
    <w:rsid w:val="00027BFE"/>
    <w:rsid w:val="00031E4D"/>
    <w:rsid w:val="00034227"/>
    <w:rsid w:val="00042EDE"/>
    <w:rsid w:val="00050F93"/>
    <w:rsid w:val="0005312B"/>
    <w:rsid w:val="00063A03"/>
    <w:rsid w:val="00064997"/>
    <w:rsid w:val="0006669F"/>
    <w:rsid w:val="000735F2"/>
    <w:rsid w:val="0007552D"/>
    <w:rsid w:val="00076AE0"/>
    <w:rsid w:val="00083447"/>
    <w:rsid w:val="00090AB5"/>
    <w:rsid w:val="00090FAC"/>
    <w:rsid w:val="00091AB0"/>
    <w:rsid w:val="00092523"/>
    <w:rsid w:val="00094E10"/>
    <w:rsid w:val="000A0FB2"/>
    <w:rsid w:val="000A2FB1"/>
    <w:rsid w:val="000A69E4"/>
    <w:rsid w:val="000B0236"/>
    <w:rsid w:val="000B730C"/>
    <w:rsid w:val="000C07B3"/>
    <w:rsid w:val="000C1D74"/>
    <w:rsid w:val="000D5179"/>
    <w:rsid w:val="000D530D"/>
    <w:rsid w:val="000D5A67"/>
    <w:rsid w:val="000D7C39"/>
    <w:rsid w:val="000E5B46"/>
    <w:rsid w:val="000E5C7C"/>
    <w:rsid w:val="000E657C"/>
    <w:rsid w:val="000F0B26"/>
    <w:rsid w:val="000F4339"/>
    <w:rsid w:val="000F4CF3"/>
    <w:rsid w:val="00102C12"/>
    <w:rsid w:val="00104775"/>
    <w:rsid w:val="001201C6"/>
    <w:rsid w:val="00120DE3"/>
    <w:rsid w:val="001216C2"/>
    <w:rsid w:val="001221D0"/>
    <w:rsid w:val="00127B40"/>
    <w:rsid w:val="00130C75"/>
    <w:rsid w:val="00131873"/>
    <w:rsid w:val="00134DD0"/>
    <w:rsid w:val="0013520A"/>
    <w:rsid w:val="001456AF"/>
    <w:rsid w:val="0014699C"/>
    <w:rsid w:val="00147260"/>
    <w:rsid w:val="00147B6B"/>
    <w:rsid w:val="001530F0"/>
    <w:rsid w:val="00153DBD"/>
    <w:rsid w:val="00160A6F"/>
    <w:rsid w:val="00162F54"/>
    <w:rsid w:val="001676EF"/>
    <w:rsid w:val="0016772F"/>
    <w:rsid w:val="001722A7"/>
    <w:rsid w:val="0017474E"/>
    <w:rsid w:val="0017543F"/>
    <w:rsid w:val="00175D05"/>
    <w:rsid w:val="001829EF"/>
    <w:rsid w:val="001846E3"/>
    <w:rsid w:val="001866F5"/>
    <w:rsid w:val="0018683A"/>
    <w:rsid w:val="00187110"/>
    <w:rsid w:val="00187986"/>
    <w:rsid w:val="0019323F"/>
    <w:rsid w:val="00195E45"/>
    <w:rsid w:val="0019690A"/>
    <w:rsid w:val="001A0996"/>
    <w:rsid w:val="001A0C19"/>
    <w:rsid w:val="001A1694"/>
    <w:rsid w:val="001A644A"/>
    <w:rsid w:val="001B413E"/>
    <w:rsid w:val="001B5A68"/>
    <w:rsid w:val="001C2C18"/>
    <w:rsid w:val="001C3D82"/>
    <w:rsid w:val="001C47E9"/>
    <w:rsid w:val="001C57D3"/>
    <w:rsid w:val="001C637C"/>
    <w:rsid w:val="001C71AF"/>
    <w:rsid w:val="001C72EA"/>
    <w:rsid w:val="001D198F"/>
    <w:rsid w:val="001D3222"/>
    <w:rsid w:val="001D4BF8"/>
    <w:rsid w:val="001E0F8B"/>
    <w:rsid w:val="001F2605"/>
    <w:rsid w:val="001F34AF"/>
    <w:rsid w:val="001F4605"/>
    <w:rsid w:val="001F7EA2"/>
    <w:rsid w:val="00200D4E"/>
    <w:rsid w:val="00202ED0"/>
    <w:rsid w:val="0020624D"/>
    <w:rsid w:val="00207031"/>
    <w:rsid w:val="00211B1F"/>
    <w:rsid w:val="002133FF"/>
    <w:rsid w:val="00220BDD"/>
    <w:rsid w:val="00221E3B"/>
    <w:rsid w:val="00227F30"/>
    <w:rsid w:val="002377D6"/>
    <w:rsid w:val="00242B76"/>
    <w:rsid w:val="00243257"/>
    <w:rsid w:val="00244C74"/>
    <w:rsid w:val="00244D2F"/>
    <w:rsid w:val="0024626B"/>
    <w:rsid w:val="00246A53"/>
    <w:rsid w:val="002553BA"/>
    <w:rsid w:val="002610B6"/>
    <w:rsid w:val="00263434"/>
    <w:rsid w:val="00274B04"/>
    <w:rsid w:val="002754CC"/>
    <w:rsid w:val="0028028B"/>
    <w:rsid w:val="00280AB1"/>
    <w:rsid w:val="00286C98"/>
    <w:rsid w:val="002922D2"/>
    <w:rsid w:val="002928A9"/>
    <w:rsid w:val="002A16CC"/>
    <w:rsid w:val="002A1FDF"/>
    <w:rsid w:val="002A3D8E"/>
    <w:rsid w:val="002C36BC"/>
    <w:rsid w:val="002D1F46"/>
    <w:rsid w:val="002D22FE"/>
    <w:rsid w:val="002D55FA"/>
    <w:rsid w:val="002D5B53"/>
    <w:rsid w:val="002D621B"/>
    <w:rsid w:val="002E012D"/>
    <w:rsid w:val="002E7908"/>
    <w:rsid w:val="002F2615"/>
    <w:rsid w:val="002F2AAC"/>
    <w:rsid w:val="002F34E4"/>
    <w:rsid w:val="002F4666"/>
    <w:rsid w:val="002F66F8"/>
    <w:rsid w:val="00307C94"/>
    <w:rsid w:val="003134BC"/>
    <w:rsid w:val="00314DA9"/>
    <w:rsid w:val="00321E67"/>
    <w:rsid w:val="003234B6"/>
    <w:rsid w:val="003236F3"/>
    <w:rsid w:val="0032583A"/>
    <w:rsid w:val="003304B0"/>
    <w:rsid w:val="00330FBF"/>
    <w:rsid w:val="00331983"/>
    <w:rsid w:val="003320F5"/>
    <w:rsid w:val="003468B4"/>
    <w:rsid w:val="0035006B"/>
    <w:rsid w:val="00350969"/>
    <w:rsid w:val="00351807"/>
    <w:rsid w:val="0035269D"/>
    <w:rsid w:val="0035677B"/>
    <w:rsid w:val="00356B3E"/>
    <w:rsid w:val="00356F69"/>
    <w:rsid w:val="00360F6A"/>
    <w:rsid w:val="003611BE"/>
    <w:rsid w:val="003648BF"/>
    <w:rsid w:val="00390E9E"/>
    <w:rsid w:val="00392A02"/>
    <w:rsid w:val="003930C8"/>
    <w:rsid w:val="003A3EF0"/>
    <w:rsid w:val="003A4E69"/>
    <w:rsid w:val="003B05C0"/>
    <w:rsid w:val="003B1036"/>
    <w:rsid w:val="003B3215"/>
    <w:rsid w:val="003B667D"/>
    <w:rsid w:val="003B7C2E"/>
    <w:rsid w:val="003C0E4F"/>
    <w:rsid w:val="003C4434"/>
    <w:rsid w:val="003D4F85"/>
    <w:rsid w:val="003D57E3"/>
    <w:rsid w:val="003D6B13"/>
    <w:rsid w:val="003D6BD9"/>
    <w:rsid w:val="003D6D89"/>
    <w:rsid w:val="003E769D"/>
    <w:rsid w:val="003F0886"/>
    <w:rsid w:val="003F118F"/>
    <w:rsid w:val="003F1819"/>
    <w:rsid w:val="003F1EED"/>
    <w:rsid w:val="003F4EFB"/>
    <w:rsid w:val="003F5A82"/>
    <w:rsid w:val="00400B70"/>
    <w:rsid w:val="004022F0"/>
    <w:rsid w:val="004032C1"/>
    <w:rsid w:val="00405A9C"/>
    <w:rsid w:val="004137D3"/>
    <w:rsid w:val="004167D7"/>
    <w:rsid w:val="00421DFA"/>
    <w:rsid w:val="00424803"/>
    <w:rsid w:val="004269C9"/>
    <w:rsid w:val="0043066A"/>
    <w:rsid w:val="00431B1B"/>
    <w:rsid w:val="00436201"/>
    <w:rsid w:val="00436A4D"/>
    <w:rsid w:val="004376BE"/>
    <w:rsid w:val="00440C96"/>
    <w:rsid w:val="00441482"/>
    <w:rsid w:val="00444FE6"/>
    <w:rsid w:val="00445147"/>
    <w:rsid w:val="00446B26"/>
    <w:rsid w:val="00446FB0"/>
    <w:rsid w:val="00463A3A"/>
    <w:rsid w:val="004672E3"/>
    <w:rsid w:val="00471D6A"/>
    <w:rsid w:val="00472513"/>
    <w:rsid w:val="00476BB4"/>
    <w:rsid w:val="00481813"/>
    <w:rsid w:val="0048266B"/>
    <w:rsid w:val="00482AF8"/>
    <w:rsid w:val="00483AD6"/>
    <w:rsid w:val="00487AB5"/>
    <w:rsid w:val="0049442C"/>
    <w:rsid w:val="004949CC"/>
    <w:rsid w:val="00494E0E"/>
    <w:rsid w:val="0049516D"/>
    <w:rsid w:val="004959F6"/>
    <w:rsid w:val="00495C26"/>
    <w:rsid w:val="004A4D3D"/>
    <w:rsid w:val="004B14BB"/>
    <w:rsid w:val="004B1715"/>
    <w:rsid w:val="004B1B5F"/>
    <w:rsid w:val="004B2693"/>
    <w:rsid w:val="004B3123"/>
    <w:rsid w:val="004B40A4"/>
    <w:rsid w:val="004C4B07"/>
    <w:rsid w:val="004D2D6D"/>
    <w:rsid w:val="004D6CF9"/>
    <w:rsid w:val="004E0673"/>
    <w:rsid w:val="004E1B54"/>
    <w:rsid w:val="004E2AC0"/>
    <w:rsid w:val="004E2AD6"/>
    <w:rsid w:val="004E4554"/>
    <w:rsid w:val="004E4B41"/>
    <w:rsid w:val="004E638A"/>
    <w:rsid w:val="004E7E0F"/>
    <w:rsid w:val="004F59AF"/>
    <w:rsid w:val="004F6E9A"/>
    <w:rsid w:val="00501ECF"/>
    <w:rsid w:val="00506275"/>
    <w:rsid w:val="00513479"/>
    <w:rsid w:val="00514E9D"/>
    <w:rsid w:val="005161D6"/>
    <w:rsid w:val="005209C4"/>
    <w:rsid w:val="0052332F"/>
    <w:rsid w:val="00524BC8"/>
    <w:rsid w:val="00525AC5"/>
    <w:rsid w:val="005368A7"/>
    <w:rsid w:val="005375FA"/>
    <w:rsid w:val="00541521"/>
    <w:rsid w:val="00554BDF"/>
    <w:rsid w:val="00557473"/>
    <w:rsid w:val="00562DCF"/>
    <w:rsid w:val="005637D7"/>
    <w:rsid w:val="00565345"/>
    <w:rsid w:val="00567E99"/>
    <w:rsid w:val="0057091F"/>
    <w:rsid w:val="005876B3"/>
    <w:rsid w:val="0059253A"/>
    <w:rsid w:val="005928CF"/>
    <w:rsid w:val="00597DEB"/>
    <w:rsid w:val="005A09CC"/>
    <w:rsid w:val="005A1082"/>
    <w:rsid w:val="005A172A"/>
    <w:rsid w:val="005A54F3"/>
    <w:rsid w:val="005A74C3"/>
    <w:rsid w:val="005B17F0"/>
    <w:rsid w:val="005B3491"/>
    <w:rsid w:val="005B4724"/>
    <w:rsid w:val="005B4788"/>
    <w:rsid w:val="005C01B6"/>
    <w:rsid w:val="005C3C41"/>
    <w:rsid w:val="005C7281"/>
    <w:rsid w:val="005D2936"/>
    <w:rsid w:val="005D3D1F"/>
    <w:rsid w:val="005E0C73"/>
    <w:rsid w:val="005E1E1F"/>
    <w:rsid w:val="005E4AF7"/>
    <w:rsid w:val="005F0636"/>
    <w:rsid w:val="005F1555"/>
    <w:rsid w:val="005F421C"/>
    <w:rsid w:val="005F5F07"/>
    <w:rsid w:val="005F7AD0"/>
    <w:rsid w:val="00601598"/>
    <w:rsid w:val="006051E7"/>
    <w:rsid w:val="00605D8E"/>
    <w:rsid w:val="0060669F"/>
    <w:rsid w:val="006100A5"/>
    <w:rsid w:val="00611631"/>
    <w:rsid w:val="00612BD4"/>
    <w:rsid w:val="00613CA6"/>
    <w:rsid w:val="006142D0"/>
    <w:rsid w:val="0061596D"/>
    <w:rsid w:val="0062266D"/>
    <w:rsid w:val="0063006B"/>
    <w:rsid w:val="006348AD"/>
    <w:rsid w:val="00636035"/>
    <w:rsid w:val="00636DC2"/>
    <w:rsid w:val="0064038C"/>
    <w:rsid w:val="006406EA"/>
    <w:rsid w:val="006445A0"/>
    <w:rsid w:val="00650268"/>
    <w:rsid w:val="00651150"/>
    <w:rsid w:val="006610CA"/>
    <w:rsid w:val="00665B08"/>
    <w:rsid w:val="00673307"/>
    <w:rsid w:val="00673B34"/>
    <w:rsid w:val="00674279"/>
    <w:rsid w:val="00675A40"/>
    <w:rsid w:val="00681168"/>
    <w:rsid w:val="00682F4B"/>
    <w:rsid w:val="00686FFC"/>
    <w:rsid w:val="00692A8C"/>
    <w:rsid w:val="00693240"/>
    <w:rsid w:val="00695663"/>
    <w:rsid w:val="0069759E"/>
    <w:rsid w:val="006A298B"/>
    <w:rsid w:val="006A2D71"/>
    <w:rsid w:val="006A57F4"/>
    <w:rsid w:val="006A6DA8"/>
    <w:rsid w:val="006A7E9D"/>
    <w:rsid w:val="006B11DD"/>
    <w:rsid w:val="006B29DB"/>
    <w:rsid w:val="006B6F32"/>
    <w:rsid w:val="006B7FEF"/>
    <w:rsid w:val="006C0DB5"/>
    <w:rsid w:val="006D03B1"/>
    <w:rsid w:val="006D1076"/>
    <w:rsid w:val="006D23AA"/>
    <w:rsid w:val="006D732E"/>
    <w:rsid w:val="006D7799"/>
    <w:rsid w:val="006F1FDF"/>
    <w:rsid w:val="006F212D"/>
    <w:rsid w:val="006F54C7"/>
    <w:rsid w:val="006F71EC"/>
    <w:rsid w:val="00701714"/>
    <w:rsid w:val="00710AC7"/>
    <w:rsid w:val="00715D46"/>
    <w:rsid w:val="00717AE6"/>
    <w:rsid w:val="00717F9D"/>
    <w:rsid w:val="00722AE1"/>
    <w:rsid w:val="00724308"/>
    <w:rsid w:val="007261FE"/>
    <w:rsid w:val="0073385A"/>
    <w:rsid w:val="007413E4"/>
    <w:rsid w:val="00743EBD"/>
    <w:rsid w:val="00750940"/>
    <w:rsid w:val="007708EC"/>
    <w:rsid w:val="00775CA7"/>
    <w:rsid w:val="007840E8"/>
    <w:rsid w:val="0078491E"/>
    <w:rsid w:val="007914F4"/>
    <w:rsid w:val="00794846"/>
    <w:rsid w:val="0079513C"/>
    <w:rsid w:val="007958BB"/>
    <w:rsid w:val="0079770B"/>
    <w:rsid w:val="0079781A"/>
    <w:rsid w:val="007A60AB"/>
    <w:rsid w:val="007A6C5E"/>
    <w:rsid w:val="007B74FA"/>
    <w:rsid w:val="007C7C63"/>
    <w:rsid w:val="007D0701"/>
    <w:rsid w:val="007D7617"/>
    <w:rsid w:val="007E11F4"/>
    <w:rsid w:val="007E1A3D"/>
    <w:rsid w:val="007E6A67"/>
    <w:rsid w:val="007F7571"/>
    <w:rsid w:val="0080010F"/>
    <w:rsid w:val="00800651"/>
    <w:rsid w:val="0080349A"/>
    <w:rsid w:val="00803852"/>
    <w:rsid w:val="0080414E"/>
    <w:rsid w:val="00804A2D"/>
    <w:rsid w:val="008075CC"/>
    <w:rsid w:val="00811DC9"/>
    <w:rsid w:val="0081592C"/>
    <w:rsid w:val="008161EC"/>
    <w:rsid w:val="008229E4"/>
    <w:rsid w:val="008275FC"/>
    <w:rsid w:val="0083343A"/>
    <w:rsid w:val="00834C1E"/>
    <w:rsid w:val="00835CFB"/>
    <w:rsid w:val="00837AED"/>
    <w:rsid w:val="008415BE"/>
    <w:rsid w:val="0084232F"/>
    <w:rsid w:val="0084348B"/>
    <w:rsid w:val="008444E3"/>
    <w:rsid w:val="00844DDD"/>
    <w:rsid w:val="0085495F"/>
    <w:rsid w:val="00854C4A"/>
    <w:rsid w:val="00856072"/>
    <w:rsid w:val="00856C92"/>
    <w:rsid w:val="008579BE"/>
    <w:rsid w:val="008636CA"/>
    <w:rsid w:val="008672B7"/>
    <w:rsid w:val="00867314"/>
    <w:rsid w:val="00875F88"/>
    <w:rsid w:val="00876086"/>
    <w:rsid w:val="00881E42"/>
    <w:rsid w:val="008837F2"/>
    <w:rsid w:val="008856E1"/>
    <w:rsid w:val="00892744"/>
    <w:rsid w:val="00892C8A"/>
    <w:rsid w:val="0089631C"/>
    <w:rsid w:val="00896F74"/>
    <w:rsid w:val="008972EB"/>
    <w:rsid w:val="0089779C"/>
    <w:rsid w:val="008A297F"/>
    <w:rsid w:val="008A441F"/>
    <w:rsid w:val="008B0E28"/>
    <w:rsid w:val="008B1C7B"/>
    <w:rsid w:val="008B2F71"/>
    <w:rsid w:val="008B34E9"/>
    <w:rsid w:val="008B3D59"/>
    <w:rsid w:val="008B4C1D"/>
    <w:rsid w:val="008C07A1"/>
    <w:rsid w:val="008C0C16"/>
    <w:rsid w:val="008C123D"/>
    <w:rsid w:val="008C1C19"/>
    <w:rsid w:val="008C7022"/>
    <w:rsid w:val="008D2B07"/>
    <w:rsid w:val="008E020F"/>
    <w:rsid w:val="008E0CF7"/>
    <w:rsid w:val="008F00C0"/>
    <w:rsid w:val="008F12C5"/>
    <w:rsid w:val="009053B0"/>
    <w:rsid w:val="00907AA9"/>
    <w:rsid w:val="00907EC2"/>
    <w:rsid w:val="009115C4"/>
    <w:rsid w:val="009116DD"/>
    <w:rsid w:val="00915CE2"/>
    <w:rsid w:val="009177D9"/>
    <w:rsid w:val="009211D9"/>
    <w:rsid w:val="00921FBC"/>
    <w:rsid w:val="009241E7"/>
    <w:rsid w:val="009313A5"/>
    <w:rsid w:val="00933EA0"/>
    <w:rsid w:val="00943946"/>
    <w:rsid w:val="00946DCF"/>
    <w:rsid w:val="009522E6"/>
    <w:rsid w:val="009527C1"/>
    <w:rsid w:val="00956A3A"/>
    <w:rsid w:val="00957D29"/>
    <w:rsid w:val="00965F84"/>
    <w:rsid w:val="00966991"/>
    <w:rsid w:val="00967525"/>
    <w:rsid w:val="00967C3B"/>
    <w:rsid w:val="00975E4E"/>
    <w:rsid w:val="009820C6"/>
    <w:rsid w:val="0098626A"/>
    <w:rsid w:val="00986DC0"/>
    <w:rsid w:val="00986F72"/>
    <w:rsid w:val="00990EC6"/>
    <w:rsid w:val="00991489"/>
    <w:rsid w:val="00991A7C"/>
    <w:rsid w:val="00991F2C"/>
    <w:rsid w:val="0099767C"/>
    <w:rsid w:val="009A07AE"/>
    <w:rsid w:val="009A41E4"/>
    <w:rsid w:val="009A4817"/>
    <w:rsid w:val="009A7A90"/>
    <w:rsid w:val="009B090C"/>
    <w:rsid w:val="009B1BBF"/>
    <w:rsid w:val="009B2C0C"/>
    <w:rsid w:val="009B3A3A"/>
    <w:rsid w:val="009C1134"/>
    <w:rsid w:val="009D0354"/>
    <w:rsid w:val="009D1ABB"/>
    <w:rsid w:val="009D4AFD"/>
    <w:rsid w:val="009D73B1"/>
    <w:rsid w:val="009E0C66"/>
    <w:rsid w:val="009E1D3D"/>
    <w:rsid w:val="009E4E83"/>
    <w:rsid w:val="009E719D"/>
    <w:rsid w:val="009F6898"/>
    <w:rsid w:val="00A00115"/>
    <w:rsid w:val="00A01580"/>
    <w:rsid w:val="00A04F66"/>
    <w:rsid w:val="00A105CF"/>
    <w:rsid w:val="00A110B2"/>
    <w:rsid w:val="00A11691"/>
    <w:rsid w:val="00A1622F"/>
    <w:rsid w:val="00A306CD"/>
    <w:rsid w:val="00A308A2"/>
    <w:rsid w:val="00A326D5"/>
    <w:rsid w:val="00A349BC"/>
    <w:rsid w:val="00A40A75"/>
    <w:rsid w:val="00A41271"/>
    <w:rsid w:val="00A4184C"/>
    <w:rsid w:val="00A42CE9"/>
    <w:rsid w:val="00A468D6"/>
    <w:rsid w:val="00A5461F"/>
    <w:rsid w:val="00A557E8"/>
    <w:rsid w:val="00A55D2E"/>
    <w:rsid w:val="00A60284"/>
    <w:rsid w:val="00A665AC"/>
    <w:rsid w:val="00A733A3"/>
    <w:rsid w:val="00A744C3"/>
    <w:rsid w:val="00A74C52"/>
    <w:rsid w:val="00A75472"/>
    <w:rsid w:val="00A80AA4"/>
    <w:rsid w:val="00A837F2"/>
    <w:rsid w:val="00A841A3"/>
    <w:rsid w:val="00A85C5F"/>
    <w:rsid w:val="00A8779C"/>
    <w:rsid w:val="00AB0F22"/>
    <w:rsid w:val="00AB218A"/>
    <w:rsid w:val="00AC0650"/>
    <w:rsid w:val="00AC07C6"/>
    <w:rsid w:val="00AC49BC"/>
    <w:rsid w:val="00AC6D59"/>
    <w:rsid w:val="00AD1320"/>
    <w:rsid w:val="00AD2DD1"/>
    <w:rsid w:val="00AD7326"/>
    <w:rsid w:val="00AE4160"/>
    <w:rsid w:val="00AE48CF"/>
    <w:rsid w:val="00AE5A25"/>
    <w:rsid w:val="00AE6B16"/>
    <w:rsid w:val="00AF0805"/>
    <w:rsid w:val="00AF2092"/>
    <w:rsid w:val="00AF4BE9"/>
    <w:rsid w:val="00B02B0E"/>
    <w:rsid w:val="00B063F6"/>
    <w:rsid w:val="00B10BEC"/>
    <w:rsid w:val="00B13217"/>
    <w:rsid w:val="00B1746B"/>
    <w:rsid w:val="00B25F70"/>
    <w:rsid w:val="00B279AB"/>
    <w:rsid w:val="00B3093A"/>
    <w:rsid w:val="00B30DCA"/>
    <w:rsid w:val="00B32535"/>
    <w:rsid w:val="00B33A1D"/>
    <w:rsid w:val="00B358A4"/>
    <w:rsid w:val="00B35E8C"/>
    <w:rsid w:val="00B41DCE"/>
    <w:rsid w:val="00B424AB"/>
    <w:rsid w:val="00B43192"/>
    <w:rsid w:val="00B46E17"/>
    <w:rsid w:val="00B47723"/>
    <w:rsid w:val="00B56D21"/>
    <w:rsid w:val="00B5795F"/>
    <w:rsid w:val="00B64C58"/>
    <w:rsid w:val="00B66874"/>
    <w:rsid w:val="00B770D3"/>
    <w:rsid w:val="00B80BAE"/>
    <w:rsid w:val="00B82DAC"/>
    <w:rsid w:val="00B848E1"/>
    <w:rsid w:val="00B850F7"/>
    <w:rsid w:val="00B86BAF"/>
    <w:rsid w:val="00B924CF"/>
    <w:rsid w:val="00B93D9A"/>
    <w:rsid w:val="00BA13E0"/>
    <w:rsid w:val="00BA280A"/>
    <w:rsid w:val="00BB088F"/>
    <w:rsid w:val="00BB175E"/>
    <w:rsid w:val="00BB2A9B"/>
    <w:rsid w:val="00BB3771"/>
    <w:rsid w:val="00BC0247"/>
    <w:rsid w:val="00BC24CA"/>
    <w:rsid w:val="00BC37B0"/>
    <w:rsid w:val="00BC4860"/>
    <w:rsid w:val="00BC4BBB"/>
    <w:rsid w:val="00BC5531"/>
    <w:rsid w:val="00BD0784"/>
    <w:rsid w:val="00BD22D8"/>
    <w:rsid w:val="00BD3521"/>
    <w:rsid w:val="00BD6F99"/>
    <w:rsid w:val="00BE428E"/>
    <w:rsid w:val="00BE5F9E"/>
    <w:rsid w:val="00BE69C9"/>
    <w:rsid w:val="00BE6CA4"/>
    <w:rsid w:val="00BF27C2"/>
    <w:rsid w:val="00BF326E"/>
    <w:rsid w:val="00BF39A4"/>
    <w:rsid w:val="00C0433C"/>
    <w:rsid w:val="00C05204"/>
    <w:rsid w:val="00C11EBB"/>
    <w:rsid w:val="00C13994"/>
    <w:rsid w:val="00C155D2"/>
    <w:rsid w:val="00C1653F"/>
    <w:rsid w:val="00C20087"/>
    <w:rsid w:val="00C21353"/>
    <w:rsid w:val="00C21DD6"/>
    <w:rsid w:val="00C2267F"/>
    <w:rsid w:val="00C23B5C"/>
    <w:rsid w:val="00C23EC3"/>
    <w:rsid w:val="00C34D4E"/>
    <w:rsid w:val="00C368ED"/>
    <w:rsid w:val="00C431EA"/>
    <w:rsid w:val="00C468CD"/>
    <w:rsid w:val="00C62053"/>
    <w:rsid w:val="00C64130"/>
    <w:rsid w:val="00C64DC1"/>
    <w:rsid w:val="00C75F9C"/>
    <w:rsid w:val="00C7690A"/>
    <w:rsid w:val="00C771C8"/>
    <w:rsid w:val="00C82434"/>
    <w:rsid w:val="00C847A4"/>
    <w:rsid w:val="00C87090"/>
    <w:rsid w:val="00C87870"/>
    <w:rsid w:val="00C96914"/>
    <w:rsid w:val="00C97FE7"/>
    <w:rsid w:val="00CA0160"/>
    <w:rsid w:val="00CA36B6"/>
    <w:rsid w:val="00CB3899"/>
    <w:rsid w:val="00CB4B54"/>
    <w:rsid w:val="00CB5DB4"/>
    <w:rsid w:val="00CB70C0"/>
    <w:rsid w:val="00CC3D20"/>
    <w:rsid w:val="00CD1EBF"/>
    <w:rsid w:val="00CD305B"/>
    <w:rsid w:val="00CD74B5"/>
    <w:rsid w:val="00CD7E09"/>
    <w:rsid w:val="00CE0DF1"/>
    <w:rsid w:val="00CF7CE1"/>
    <w:rsid w:val="00D016A2"/>
    <w:rsid w:val="00D01864"/>
    <w:rsid w:val="00D0550E"/>
    <w:rsid w:val="00D059D1"/>
    <w:rsid w:val="00D05A4B"/>
    <w:rsid w:val="00D0652A"/>
    <w:rsid w:val="00D06ADA"/>
    <w:rsid w:val="00D10527"/>
    <w:rsid w:val="00D11274"/>
    <w:rsid w:val="00D15B47"/>
    <w:rsid w:val="00D204B9"/>
    <w:rsid w:val="00D2055F"/>
    <w:rsid w:val="00D2453A"/>
    <w:rsid w:val="00D26888"/>
    <w:rsid w:val="00D42CFF"/>
    <w:rsid w:val="00D43D91"/>
    <w:rsid w:val="00D44740"/>
    <w:rsid w:val="00D44D88"/>
    <w:rsid w:val="00D46D97"/>
    <w:rsid w:val="00D50A49"/>
    <w:rsid w:val="00D539B6"/>
    <w:rsid w:val="00D57866"/>
    <w:rsid w:val="00D61086"/>
    <w:rsid w:val="00D62200"/>
    <w:rsid w:val="00D6334C"/>
    <w:rsid w:val="00D70EB1"/>
    <w:rsid w:val="00D712A2"/>
    <w:rsid w:val="00D74FF9"/>
    <w:rsid w:val="00D86708"/>
    <w:rsid w:val="00D906C4"/>
    <w:rsid w:val="00D92884"/>
    <w:rsid w:val="00D96A30"/>
    <w:rsid w:val="00DA39DD"/>
    <w:rsid w:val="00DA4307"/>
    <w:rsid w:val="00DA4BA8"/>
    <w:rsid w:val="00DB4E9A"/>
    <w:rsid w:val="00DB6276"/>
    <w:rsid w:val="00DB6FF4"/>
    <w:rsid w:val="00DC153E"/>
    <w:rsid w:val="00DC62B8"/>
    <w:rsid w:val="00DD1620"/>
    <w:rsid w:val="00DD30BA"/>
    <w:rsid w:val="00DD30C9"/>
    <w:rsid w:val="00DD5879"/>
    <w:rsid w:val="00DD7A26"/>
    <w:rsid w:val="00DE1D21"/>
    <w:rsid w:val="00DE3C18"/>
    <w:rsid w:val="00DE3D2B"/>
    <w:rsid w:val="00DE3D5F"/>
    <w:rsid w:val="00DE4F79"/>
    <w:rsid w:val="00DE6847"/>
    <w:rsid w:val="00DF12C3"/>
    <w:rsid w:val="00DF3ABF"/>
    <w:rsid w:val="00DF5C9D"/>
    <w:rsid w:val="00DF6A33"/>
    <w:rsid w:val="00DF6BA3"/>
    <w:rsid w:val="00E0030C"/>
    <w:rsid w:val="00E072D3"/>
    <w:rsid w:val="00E11D5C"/>
    <w:rsid w:val="00E12E5B"/>
    <w:rsid w:val="00E15917"/>
    <w:rsid w:val="00E163F5"/>
    <w:rsid w:val="00E259CA"/>
    <w:rsid w:val="00E261BA"/>
    <w:rsid w:val="00E268EE"/>
    <w:rsid w:val="00E30B1E"/>
    <w:rsid w:val="00E3215D"/>
    <w:rsid w:val="00E341F0"/>
    <w:rsid w:val="00E34F33"/>
    <w:rsid w:val="00E3508F"/>
    <w:rsid w:val="00E35242"/>
    <w:rsid w:val="00E377DF"/>
    <w:rsid w:val="00E42AE6"/>
    <w:rsid w:val="00E43139"/>
    <w:rsid w:val="00E43E9E"/>
    <w:rsid w:val="00E44D1B"/>
    <w:rsid w:val="00E46E37"/>
    <w:rsid w:val="00E46FA9"/>
    <w:rsid w:val="00E47D46"/>
    <w:rsid w:val="00E5209A"/>
    <w:rsid w:val="00E5376B"/>
    <w:rsid w:val="00E53FFD"/>
    <w:rsid w:val="00E54F7F"/>
    <w:rsid w:val="00E56370"/>
    <w:rsid w:val="00E577EC"/>
    <w:rsid w:val="00E57831"/>
    <w:rsid w:val="00E6352A"/>
    <w:rsid w:val="00E6463C"/>
    <w:rsid w:val="00E70103"/>
    <w:rsid w:val="00E71CDC"/>
    <w:rsid w:val="00E72F07"/>
    <w:rsid w:val="00E80C99"/>
    <w:rsid w:val="00E82B1B"/>
    <w:rsid w:val="00E83AEA"/>
    <w:rsid w:val="00E86862"/>
    <w:rsid w:val="00E92E3C"/>
    <w:rsid w:val="00EA1876"/>
    <w:rsid w:val="00EA1B0C"/>
    <w:rsid w:val="00EA37F3"/>
    <w:rsid w:val="00EA495B"/>
    <w:rsid w:val="00EA4A33"/>
    <w:rsid w:val="00EA6BD8"/>
    <w:rsid w:val="00EB06B2"/>
    <w:rsid w:val="00EB1F9D"/>
    <w:rsid w:val="00EB74F1"/>
    <w:rsid w:val="00EB7D1C"/>
    <w:rsid w:val="00EC4C33"/>
    <w:rsid w:val="00EC5BF5"/>
    <w:rsid w:val="00ED075B"/>
    <w:rsid w:val="00ED2912"/>
    <w:rsid w:val="00ED2FAD"/>
    <w:rsid w:val="00EE0FFD"/>
    <w:rsid w:val="00EE1974"/>
    <w:rsid w:val="00EF0599"/>
    <w:rsid w:val="00EF12D6"/>
    <w:rsid w:val="00EF3733"/>
    <w:rsid w:val="00EF524A"/>
    <w:rsid w:val="00F0115D"/>
    <w:rsid w:val="00F028A4"/>
    <w:rsid w:val="00F03D96"/>
    <w:rsid w:val="00F07964"/>
    <w:rsid w:val="00F10A97"/>
    <w:rsid w:val="00F10B98"/>
    <w:rsid w:val="00F13595"/>
    <w:rsid w:val="00F14656"/>
    <w:rsid w:val="00F15008"/>
    <w:rsid w:val="00F229C5"/>
    <w:rsid w:val="00F23D31"/>
    <w:rsid w:val="00F25C77"/>
    <w:rsid w:val="00F3539A"/>
    <w:rsid w:val="00F4717A"/>
    <w:rsid w:val="00F47D93"/>
    <w:rsid w:val="00F61B1B"/>
    <w:rsid w:val="00F66FF0"/>
    <w:rsid w:val="00F724A9"/>
    <w:rsid w:val="00F73AC1"/>
    <w:rsid w:val="00F74FDE"/>
    <w:rsid w:val="00F77643"/>
    <w:rsid w:val="00F7772F"/>
    <w:rsid w:val="00F77FB3"/>
    <w:rsid w:val="00F93C95"/>
    <w:rsid w:val="00F95EBA"/>
    <w:rsid w:val="00FA427E"/>
    <w:rsid w:val="00FA635D"/>
    <w:rsid w:val="00FB1A92"/>
    <w:rsid w:val="00FB5667"/>
    <w:rsid w:val="00FB75C8"/>
    <w:rsid w:val="00FC4C21"/>
    <w:rsid w:val="00FC6876"/>
    <w:rsid w:val="00FD2083"/>
    <w:rsid w:val="00FD5E34"/>
    <w:rsid w:val="00FE01DD"/>
    <w:rsid w:val="00FE110B"/>
    <w:rsid w:val="00FE118F"/>
    <w:rsid w:val="00FE19B9"/>
    <w:rsid w:val="00FE1A20"/>
    <w:rsid w:val="00FF0DB7"/>
    <w:rsid w:val="00FF1ECD"/>
    <w:rsid w:val="00FF75F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A79FD53"/>
  <w15:docId w15:val="{991F390D-0157-174F-B407-EFDBC03B5F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1ECD"/>
    <w:pPr>
      <w:spacing w:after="200" w:line="276" w:lineRule="auto"/>
    </w:pPr>
    <w:rPr>
      <w:lang w:eastAsia="en-US"/>
    </w:rPr>
  </w:style>
  <w:style w:type="paragraph" w:styleId="Ttulo1">
    <w:name w:val="heading 1"/>
    <w:basedOn w:val="Normal"/>
    <w:next w:val="Normal"/>
    <w:link w:val="Ttulo1Car"/>
    <w:uiPriority w:val="99"/>
    <w:qFormat/>
    <w:rsid w:val="002F66F8"/>
    <w:pPr>
      <w:keepNext/>
      <w:keepLines/>
      <w:spacing w:before="480" w:after="0"/>
      <w:outlineLvl w:val="0"/>
    </w:pPr>
    <w:rPr>
      <w:rFonts w:ascii="Cambria" w:eastAsia="Times New Roman" w:hAnsi="Cambria"/>
      <w:b/>
      <w:bCs/>
      <w:color w:val="365F91"/>
      <w:sz w:val="28"/>
      <w:szCs w:val="28"/>
    </w:rPr>
  </w:style>
  <w:style w:type="paragraph" w:styleId="Ttulo2">
    <w:name w:val="heading 2"/>
    <w:basedOn w:val="Normal"/>
    <w:next w:val="Normal"/>
    <w:link w:val="Ttulo2Car"/>
    <w:uiPriority w:val="99"/>
    <w:qFormat/>
    <w:rsid w:val="00356F69"/>
    <w:pPr>
      <w:keepNext/>
      <w:keepLines/>
      <w:spacing w:before="200" w:after="0"/>
      <w:outlineLvl w:val="1"/>
    </w:pPr>
    <w:rPr>
      <w:rFonts w:ascii="Cambria" w:eastAsia="Times New Roman" w:hAnsi="Cambria"/>
      <w:b/>
      <w:bCs/>
      <w:color w:val="4F81BD"/>
      <w:sz w:val="26"/>
      <w:szCs w:val="26"/>
    </w:rPr>
  </w:style>
  <w:style w:type="paragraph" w:styleId="Ttulo3">
    <w:name w:val="heading 3"/>
    <w:basedOn w:val="Normal"/>
    <w:link w:val="Ttulo3Car"/>
    <w:uiPriority w:val="99"/>
    <w:qFormat/>
    <w:rsid w:val="00FE01DD"/>
    <w:pPr>
      <w:spacing w:before="100" w:beforeAutospacing="1" w:after="100" w:afterAutospacing="1" w:line="240" w:lineRule="auto"/>
      <w:outlineLvl w:val="2"/>
    </w:pPr>
    <w:rPr>
      <w:rFonts w:ascii="Times New Roman" w:eastAsia="Times New Roman" w:hAnsi="Times New Roman"/>
      <w:b/>
      <w:bCs/>
      <w:sz w:val="27"/>
      <w:szCs w:val="27"/>
      <w:lang w:eastAsia="es-ES"/>
    </w:rPr>
  </w:style>
  <w:style w:type="paragraph" w:styleId="Ttulo5">
    <w:name w:val="heading 5"/>
    <w:basedOn w:val="Normal"/>
    <w:next w:val="Normal"/>
    <w:link w:val="Ttulo5Car"/>
    <w:uiPriority w:val="99"/>
    <w:qFormat/>
    <w:rsid w:val="002D621B"/>
    <w:pPr>
      <w:keepNext/>
      <w:keepLines/>
      <w:spacing w:before="200" w:after="0"/>
      <w:outlineLvl w:val="4"/>
    </w:pPr>
    <w:rPr>
      <w:rFonts w:ascii="Cambria" w:eastAsia="Times New Roman" w:hAnsi="Cambria"/>
      <w:color w:val="243F6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2F66F8"/>
    <w:rPr>
      <w:rFonts w:ascii="Cambria" w:hAnsi="Cambria" w:cs="Times New Roman"/>
      <w:b/>
      <w:bCs/>
      <w:color w:val="365F91"/>
      <w:sz w:val="28"/>
      <w:szCs w:val="28"/>
    </w:rPr>
  </w:style>
  <w:style w:type="character" w:customStyle="1" w:styleId="Ttulo2Car">
    <w:name w:val="Título 2 Car"/>
    <w:basedOn w:val="Fuentedeprrafopredeter"/>
    <w:link w:val="Ttulo2"/>
    <w:uiPriority w:val="99"/>
    <w:locked/>
    <w:rsid w:val="00356F69"/>
    <w:rPr>
      <w:rFonts w:ascii="Cambria" w:hAnsi="Cambria" w:cs="Times New Roman"/>
      <w:b/>
      <w:bCs/>
      <w:color w:val="4F81BD"/>
      <w:sz w:val="26"/>
      <w:szCs w:val="26"/>
    </w:rPr>
  </w:style>
  <w:style w:type="character" w:customStyle="1" w:styleId="Ttulo3Car">
    <w:name w:val="Título 3 Car"/>
    <w:basedOn w:val="Fuentedeprrafopredeter"/>
    <w:link w:val="Ttulo3"/>
    <w:uiPriority w:val="99"/>
    <w:semiHidden/>
    <w:locked/>
    <w:rsid w:val="00FE01DD"/>
    <w:rPr>
      <w:rFonts w:ascii="Times New Roman" w:hAnsi="Times New Roman" w:cs="Times New Roman"/>
      <w:b/>
      <w:bCs/>
      <w:sz w:val="27"/>
      <w:szCs w:val="27"/>
      <w:lang w:eastAsia="es-ES"/>
    </w:rPr>
  </w:style>
  <w:style w:type="character" w:customStyle="1" w:styleId="Ttulo5Car">
    <w:name w:val="Título 5 Car"/>
    <w:basedOn w:val="Fuentedeprrafopredeter"/>
    <w:link w:val="Ttulo5"/>
    <w:uiPriority w:val="99"/>
    <w:semiHidden/>
    <w:locked/>
    <w:rsid w:val="002D621B"/>
    <w:rPr>
      <w:rFonts w:ascii="Cambria" w:hAnsi="Cambria" w:cs="Times New Roman"/>
      <w:color w:val="243F60"/>
    </w:rPr>
  </w:style>
  <w:style w:type="paragraph" w:styleId="Prrafodelista">
    <w:name w:val="List Paragraph"/>
    <w:basedOn w:val="Normal"/>
    <w:uiPriority w:val="34"/>
    <w:qFormat/>
    <w:rsid w:val="00A1622F"/>
    <w:pPr>
      <w:spacing w:after="0" w:line="240" w:lineRule="auto"/>
      <w:ind w:left="720"/>
    </w:pPr>
    <w:rPr>
      <w:rFonts w:cs="Calibri"/>
    </w:rPr>
  </w:style>
  <w:style w:type="paragraph" w:customStyle="1" w:styleId="Default">
    <w:name w:val="Default"/>
    <w:basedOn w:val="Normal"/>
    <w:uiPriority w:val="99"/>
    <w:rsid w:val="00A1622F"/>
    <w:pPr>
      <w:autoSpaceDE w:val="0"/>
      <w:autoSpaceDN w:val="0"/>
      <w:spacing w:after="0" w:line="240" w:lineRule="auto"/>
    </w:pPr>
    <w:rPr>
      <w:rFonts w:ascii="Liberation Sans" w:hAnsi="Liberation Sans"/>
      <w:color w:val="000000"/>
      <w:sz w:val="24"/>
      <w:szCs w:val="24"/>
    </w:rPr>
  </w:style>
  <w:style w:type="character" w:customStyle="1" w:styleId="markedcontent">
    <w:name w:val="markedcontent"/>
    <w:basedOn w:val="Fuentedeprrafopredeter"/>
    <w:uiPriority w:val="99"/>
    <w:rsid w:val="00C96914"/>
    <w:rPr>
      <w:rFonts w:cs="Times New Roman"/>
    </w:rPr>
  </w:style>
  <w:style w:type="character" w:styleId="nfasis">
    <w:name w:val="Emphasis"/>
    <w:basedOn w:val="Fuentedeprrafopredeter"/>
    <w:uiPriority w:val="99"/>
    <w:qFormat/>
    <w:rsid w:val="00436A4D"/>
    <w:rPr>
      <w:rFonts w:cs="Times New Roman"/>
      <w:i/>
      <w:iCs/>
    </w:rPr>
  </w:style>
  <w:style w:type="paragraph" w:styleId="NormalWeb">
    <w:name w:val="Normal (Web)"/>
    <w:basedOn w:val="Normal"/>
    <w:uiPriority w:val="99"/>
    <w:rsid w:val="00431B1B"/>
    <w:pPr>
      <w:spacing w:before="100" w:beforeAutospacing="1" w:after="100" w:afterAutospacing="1" w:line="240" w:lineRule="auto"/>
    </w:pPr>
    <w:rPr>
      <w:rFonts w:ascii="Times New Roman" w:eastAsia="Times New Roman" w:hAnsi="Times New Roman"/>
      <w:sz w:val="24"/>
      <w:szCs w:val="24"/>
      <w:lang w:eastAsia="es-ES"/>
    </w:rPr>
  </w:style>
  <w:style w:type="table" w:customStyle="1" w:styleId="TableNormal1">
    <w:name w:val="Table Normal1"/>
    <w:uiPriority w:val="99"/>
    <w:semiHidden/>
    <w:rsid w:val="00A105CF"/>
    <w:pPr>
      <w:widowControl w:val="0"/>
    </w:pPr>
    <w:rPr>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99"/>
    <w:rsid w:val="00A105CF"/>
    <w:pPr>
      <w:widowControl w:val="0"/>
      <w:spacing w:after="0" w:line="240" w:lineRule="auto"/>
    </w:pPr>
    <w:rPr>
      <w:lang w:val="en-US"/>
    </w:rPr>
  </w:style>
  <w:style w:type="paragraph" w:styleId="Textoindependiente">
    <w:name w:val="Body Text"/>
    <w:basedOn w:val="Normal"/>
    <w:link w:val="TextoindependienteCar"/>
    <w:uiPriority w:val="99"/>
    <w:rsid w:val="00FB75C8"/>
    <w:pPr>
      <w:widowControl w:val="0"/>
      <w:spacing w:after="0" w:line="240" w:lineRule="auto"/>
      <w:ind w:left="115"/>
    </w:pPr>
    <w:rPr>
      <w:sz w:val="21"/>
      <w:szCs w:val="21"/>
      <w:lang w:val="en-US"/>
    </w:rPr>
  </w:style>
  <w:style w:type="character" w:customStyle="1" w:styleId="TextoindependienteCar">
    <w:name w:val="Texto independiente Car"/>
    <w:basedOn w:val="Fuentedeprrafopredeter"/>
    <w:link w:val="Textoindependiente"/>
    <w:uiPriority w:val="99"/>
    <w:locked/>
    <w:rsid w:val="00FB75C8"/>
    <w:rPr>
      <w:rFonts w:ascii="Calibri" w:hAnsi="Calibri" w:cs="Times New Roman"/>
      <w:sz w:val="21"/>
      <w:szCs w:val="21"/>
      <w:lang w:val="en-US"/>
    </w:rPr>
  </w:style>
  <w:style w:type="paragraph" w:styleId="TDC2">
    <w:name w:val="toc 2"/>
    <w:basedOn w:val="Normal"/>
    <w:uiPriority w:val="39"/>
    <w:rsid w:val="008856E1"/>
    <w:pPr>
      <w:widowControl w:val="0"/>
      <w:spacing w:after="0" w:line="240" w:lineRule="auto"/>
      <w:ind w:left="115"/>
    </w:pPr>
    <w:rPr>
      <w:sz w:val="21"/>
      <w:szCs w:val="21"/>
      <w:lang w:val="en-US"/>
    </w:rPr>
  </w:style>
  <w:style w:type="paragraph" w:customStyle="1" w:styleId="a">
    <w:name w:val="a"/>
    <w:basedOn w:val="Normal"/>
    <w:uiPriority w:val="99"/>
    <w:rsid w:val="00FE01DD"/>
    <w:pP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parrafo">
    <w:name w:val="parrafo"/>
    <w:basedOn w:val="Normal"/>
    <w:uiPriority w:val="99"/>
    <w:rsid w:val="002D621B"/>
    <w:pP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parrafo2">
    <w:name w:val="parrafo_2"/>
    <w:basedOn w:val="Normal"/>
    <w:uiPriority w:val="99"/>
    <w:rsid w:val="002D621B"/>
    <w:pPr>
      <w:spacing w:before="100" w:beforeAutospacing="1" w:after="100" w:afterAutospacing="1" w:line="240" w:lineRule="auto"/>
    </w:pPr>
    <w:rPr>
      <w:rFonts w:ascii="Times New Roman" w:eastAsia="Times New Roman" w:hAnsi="Times New Roman"/>
      <w:sz w:val="24"/>
      <w:szCs w:val="24"/>
      <w:lang w:eastAsia="es-ES"/>
    </w:rPr>
  </w:style>
  <w:style w:type="character" w:customStyle="1" w:styleId="highlight">
    <w:name w:val="highlight"/>
    <w:basedOn w:val="Fuentedeprrafopredeter"/>
    <w:uiPriority w:val="99"/>
    <w:rsid w:val="00F66FF0"/>
    <w:rPr>
      <w:rFonts w:cs="Times New Roman"/>
    </w:rPr>
  </w:style>
  <w:style w:type="table" w:styleId="Tablaconcuadrcula">
    <w:name w:val="Table Grid"/>
    <w:basedOn w:val="Tablanormal"/>
    <w:uiPriority w:val="99"/>
    <w:rsid w:val="008672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rsid w:val="008672B7"/>
    <w:rPr>
      <w:rFonts w:cs="Times New Roman"/>
      <w:color w:val="0000FF"/>
      <w:u w:val="single"/>
    </w:rPr>
  </w:style>
  <w:style w:type="paragraph" w:styleId="Textonotapie">
    <w:name w:val="footnote text"/>
    <w:basedOn w:val="Normal"/>
    <w:link w:val="TextonotapieCar"/>
    <w:uiPriority w:val="99"/>
    <w:rsid w:val="008672B7"/>
    <w:pPr>
      <w:spacing w:after="0" w:line="240" w:lineRule="auto"/>
    </w:pPr>
    <w:rPr>
      <w:sz w:val="20"/>
      <w:szCs w:val="20"/>
    </w:rPr>
  </w:style>
  <w:style w:type="character" w:customStyle="1" w:styleId="TextonotapieCar">
    <w:name w:val="Texto nota pie Car"/>
    <w:basedOn w:val="Fuentedeprrafopredeter"/>
    <w:link w:val="Textonotapie"/>
    <w:uiPriority w:val="99"/>
    <w:locked/>
    <w:rsid w:val="008672B7"/>
    <w:rPr>
      <w:rFonts w:cs="Times New Roman"/>
      <w:sz w:val="20"/>
      <w:szCs w:val="20"/>
    </w:rPr>
  </w:style>
  <w:style w:type="character" w:styleId="Refdenotaalpie">
    <w:name w:val="footnote reference"/>
    <w:basedOn w:val="Fuentedeprrafopredeter"/>
    <w:uiPriority w:val="99"/>
    <w:semiHidden/>
    <w:rsid w:val="008672B7"/>
    <w:rPr>
      <w:rFonts w:cs="Times New Roman"/>
      <w:vertAlign w:val="superscript"/>
    </w:rPr>
  </w:style>
  <w:style w:type="paragraph" w:styleId="TDC1">
    <w:name w:val="toc 1"/>
    <w:basedOn w:val="Normal"/>
    <w:next w:val="Normal"/>
    <w:autoRedefine/>
    <w:uiPriority w:val="39"/>
    <w:rsid w:val="00DB6FF4"/>
    <w:pPr>
      <w:tabs>
        <w:tab w:val="left" w:pos="1760"/>
        <w:tab w:val="right" w:leader="dot" w:pos="9356"/>
      </w:tabs>
      <w:spacing w:after="100"/>
      <w:ind w:left="1701" w:right="1417" w:hanging="1701"/>
      <w:jc w:val="both"/>
    </w:pPr>
  </w:style>
  <w:style w:type="paragraph" w:styleId="TtuloTDC">
    <w:name w:val="TOC Heading"/>
    <w:basedOn w:val="Ttulo1"/>
    <w:next w:val="Normal"/>
    <w:uiPriority w:val="99"/>
    <w:qFormat/>
    <w:rsid w:val="000E5B46"/>
    <w:pPr>
      <w:outlineLvl w:val="9"/>
    </w:pPr>
    <w:rPr>
      <w:lang w:eastAsia="es-ES"/>
    </w:rPr>
  </w:style>
  <w:style w:type="paragraph" w:styleId="TDC3">
    <w:name w:val="toc 3"/>
    <w:basedOn w:val="Normal"/>
    <w:next w:val="Normal"/>
    <w:autoRedefine/>
    <w:uiPriority w:val="39"/>
    <w:rsid w:val="000E5B46"/>
    <w:pPr>
      <w:spacing w:after="100"/>
      <w:ind w:left="440"/>
    </w:pPr>
    <w:rPr>
      <w:rFonts w:eastAsia="Times New Roman"/>
      <w:lang w:eastAsia="es-ES"/>
    </w:rPr>
  </w:style>
  <w:style w:type="paragraph" w:styleId="Textodeglobo">
    <w:name w:val="Balloon Text"/>
    <w:basedOn w:val="Normal"/>
    <w:link w:val="TextodegloboCar"/>
    <w:uiPriority w:val="99"/>
    <w:semiHidden/>
    <w:rsid w:val="000E5B4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0E5B46"/>
    <w:rPr>
      <w:rFonts w:ascii="Tahoma" w:hAnsi="Tahoma" w:cs="Tahoma"/>
      <w:sz w:val="16"/>
      <w:szCs w:val="16"/>
    </w:rPr>
  </w:style>
  <w:style w:type="character" w:styleId="Hipervnculovisitado">
    <w:name w:val="FollowedHyperlink"/>
    <w:basedOn w:val="Fuentedeprrafopredeter"/>
    <w:uiPriority w:val="99"/>
    <w:semiHidden/>
    <w:rsid w:val="00612BD4"/>
    <w:rPr>
      <w:rFonts w:cs="Times New Roman"/>
      <w:color w:val="800080"/>
      <w:u w:val="single"/>
    </w:rPr>
  </w:style>
  <w:style w:type="paragraph" w:styleId="Descripcin">
    <w:name w:val="caption"/>
    <w:basedOn w:val="Normal"/>
    <w:next w:val="Normal"/>
    <w:uiPriority w:val="99"/>
    <w:qFormat/>
    <w:rsid w:val="008161EC"/>
    <w:pPr>
      <w:spacing w:line="240" w:lineRule="auto"/>
    </w:pPr>
    <w:rPr>
      <w:b/>
      <w:bCs/>
      <w:color w:val="4F81BD"/>
      <w:sz w:val="18"/>
      <w:szCs w:val="18"/>
    </w:rPr>
  </w:style>
  <w:style w:type="paragraph" w:styleId="Textosinformato">
    <w:name w:val="Plain Text"/>
    <w:basedOn w:val="Normal"/>
    <w:link w:val="TextosinformatoCar"/>
    <w:uiPriority w:val="99"/>
    <w:rsid w:val="005D3D1F"/>
    <w:pPr>
      <w:spacing w:after="0" w:line="240" w:lineRule="auto"/>
    </w:pPr>
    <w:rPr>
      <w:rFonts w:ascii="Courier New" w:eastAsia="Times New Roman" w:hAnsi="Courier New" w:cs="Courier New"/>
      <w:sz w:val="20"/>
      <w:szCs w:val="20"/>
      <w:lang w:eastAsia="es-ES"/>
    </w:rPr>
  </w:style>
  <w:style w:type="character" w:customStyle="1" w:styleId="TextosinformatoCar">
    <w:name w:val="Texto sin formato Car"/>
    <w:basedOn w:val="Fuentedeprrafopredeter"/>
    <w:link w:val="Textosinformato"/>
    <w:uiPriority w:val="99"/>
    <w:locked/>
    <w:rsid w:val="005D3D1F"/>
    <w:rPr>
      <w:rFonts w:ascii="Courier New" w:hAnsi="Courier New" w:cs="Courier New"/>
      <w:lang w:val="es-ES" w:eastAsia="es-ES" w:bidi="ar-SA"/>
    </w:rPr>
  </w:style>
  <w:style w:type="paragraph" w:styleId="Encabezado">
    <w:name w:val="header"/>
    <w:basedOn w:val="Normal"/>
    <w:link w:val="EncabezadoCar"/>
    <w:uiPriority w:val="99"/>
    <w:rsid w:val="005D3D1F"/>
    <w:pPr>
      <w:tabs>
        <w:tab w:val="center" w:pos="4252"/>
        <w:tab w:val="right" w:pos="8504"/>
      </w:tabs>
      <w:spacing w:after="0" w:line="240" w:lineRule="auto"/>
    </w:pPr>
  </w:style>
  <w:style w:type="character" w:customStyle="1" w:styleId="EncabezadoCar">
    <w:name w:val="Encabezado Car"/>
    <w:basedOn w:val="Fuentedeprrafopredeter"/>
    <w:link w:val="Encabezado"/>
    <w:uiPriority w:val="99"/>
    <w:locked/>
    <w:rsid w:val="005D3D1F"/>
    <w:rPr>
      <w:rFonts w:ascii="Calibri" w:hAnsi="Calibri" w:cs="Times New Roman"/>
      <w:sz w:val="22"/>
      <w:szCs w:val="22"/>
      <w:lang w:val="es-ES" w:eastAsia="en-US" w:bidi="ar-SA"/>
    </w:rPr>
  </w:style>
  <w:style w:type="paragraph" w:styleId="Piedepgina">
    <w:name w:val="footer"/>
    <w:basedOn w:val="Normal"/>
    <w:link w:val="PiedepginaCar"/>
    <w:uiPriority w:val="99"/>
    <w:rsid w:val="005D3D1F"/>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locked/>
    <w:rsid w:val="005D3D1F"/>
    <w:rPr>
      <w:rFonts w:ascii="Calibri" w:hAnsi="Calibri" w:cs="Times New Roman"/>
      <w:sz w:val="22"/>
      <w:szCs w:val="22"/>
      <w:lang w:val="es-ES" w:eastAsia="en-US" w:bidi="ar-SA"/>
    </w:rPr>
  </w:style>
  <w:style w:type="paragraph" w:customStyle="1" w:styleId="dog-parrafo-justificado">
    <w:name w:val="dog-parrafo-justificado"/>
    <w:basedOn w:val="Normal"/>
    <w:uiPriority w:val="99"/>
    <w:rsid w:val="005D3D1F"/>
    <w:pPr>
      <w:spacing w:before="100" w:beforeAutospacing="1" w:after="100" w:afterAutospacing="1" w:line="240" w:lineRule="auto"/>
    </w:pPr>
    <w:rPr>
      <w:rFonts w:ascii="Times New Roman" w:eastAsia="Times New Roman" w:hAnsi="Times New Roman"/>
      <w:sz w:val="24"/>
      <w:szCs w:val="24"/>
      <w:lang w:eastAsia="es-ES"/>
    </w:rPr>
  </w:style>
  <w:style w:type="character" w:customStyle="1" w:styleId="dog-normal">
    <w:name w:val="dog-normal"/>
    <w:basedOn w:val="Fuentedeprrafopredeter"/>
    <w:uiPriority w:val="99"/>
    <w:rsid w:val="005D3D1F"/>
    <w:rPr>
      <w:rFonts w:cs="Times New Roman"/>
    </w:rPr>
  </w:style>
  <w:style w:type="paragraph" w:customStyle="1" w:styleId="dog-base-sangria">
    <w:name w:val="dog-base-sangria"/>
    <w:basedOn w:val="Normal"/>
    <w:rsid w:val="005D3D1F"/>
    <w:pPr>
      <w:spacing w:before="100" w:beforeAutospacing="1" w:after="100" w:afterAutospacing="1" w:line="240" w:lineRule="auto"/>
    </w:pPr>
    <w:rPr>
      <w:rFonts w:ascii="Times New Roman" w:eastAsia="Times New Roman" w:hAnsi="Times New Roman"/>
      <w:sz w:val="24"/>
      <w:szCs w:val="24"/>
      <w:lang w:eastAsia="es-ES"/>
    </w:rPr>
  </w:style>
  <w:style w:type="character" w:customStyle="1" w:styleId="fs11">
    <w:name w:val="fs11"/>
    <w:basedOn w:val="Fuentedeprrafopredeter"/>
    <w:uiPriority w:val="99"/>
    <w:rsid w:val="005D3D1F"/>
    <w:rPr>
      <w:rFonts w:cs="Times New Roman"/>
    </w:rPr>
  </w:style>
  <w:style w:type="character" w:styleId="Textoennegrita">
    <w:name w:val="Strong"/>
    <w:basedOn w:val="Fuentedeprrafopredeter"/>
    <w:uiPriority w:val="99"/>
    <w:qFormat/>
    <w:locked/>
    <w:rsid w:val="00BB3771"/>
    <w:rPr>
      <w:rFonts w:cs="Times New Roman"/>
      <w:b/>
      <w:bCs/>
    </w:rPr>
  </w:style>
  <w:style w:type="paragraph" w:customStyle="1" w:styleId="Standard">
    <w:name w:val="Standard"/>
    <w:uiPriority w:val="99"/>
    <w:rsid w:val="00D70EB1"/>
    <w:pPr>
      <w:suppressAutoHyphens/>
      <w:autoSpaceDN w:val="0"/>
      <w:textAlignment w:val="baseline"/>
    </w:pPr>
    <w:rPr>
      <w:rFonts w:ascii="Times New Roman" w:eastAsia="SimSun" w:hAnsi="Times New Roman" w:cs="Arial"/>
      <w:kern w:val="3"/>
      <w:sz w:val="24"/>
      <w:szCs w:val="24"/>
      <w:lang w:eastAsia="zh-CN" w:bidi="hi-IN"/>
    </w:rPr>
  </w:style>
  <w:style w:type="numbering" w:customStyle="1" w:styleId="RTFNum9">
    <w:name w:val="RTF_Num 9"/>
    <w:basedOn w:val="Sinlista"/>
    <w:rsid w:val="002377D6"/>
    <w:pPr>
      <w:numPr>
        <w:numId w:val="2"/>
      </w:numPr>
    </w:pPr>
  </w:style>
  <w:style w:type="numbering" w:customStyle="1" w:styleId="RTFNum11">
    <w:name w:val="RTF_Num 11"/>
    <w:basedOn w:val="Sinlista"/>
    <w:rsid w:val="00C82434"/>
    <w:pPr>
      <w:numPr>
        <w:numId w:val="3"/>
      </w:numPr>
    </w:pPr>
  </w:style>
  <w:style w:type="numbering" w:customStyle="1" w:styleId="RTFNum14">
    <w:name w:val="RTF_Num 14"/>
    <w:basedOn w:val="Sinlista"/>
    <w:rsid w:val="009527C1"/>
    <w:pPr>
      <w:numPr>
        <w:numId w:val="4"/>
      </w:numPr>
    </w:pPr>
  </w:style>
  <w:style w:type="paragraph" w:customStyle="1" w:styleId="Textbody">
    <w:name w:val="Text body"/>
    <w:basedOn w:val="Standard"/>
    <w:uiPriority w:val="99"/>
    <w:rsid w:val="009527C1"/>
    <w:pPr>
      <w:spacing w:after="140" w:line="288" w:lineRule="auto"/>
    </w:pPr>
  </w:style>
  <w:style w:type="character" w:customStyle="1" w:styleId="StrongEmphasis">
    <w:name w:val="Strong Emphasis"/>
    <w:uiPriority w:val="99"/>
    <w:rsid w:val="009527C1"/>
    <w:rPr>
      <w:b/>
      <w:bCs/>
    </w:rPr>
  </w:style>
  <w:style w:type="numbering" w:customStyle="1" w:styleId="RTFNum15">
    <w:name w:val="RTF_Num 15"/>
    <w:basedOn w:val="Sinlista"/>
    <w:rsid w:val="009527C1"/>
    <w:pPr>
      <w:numPr>
        <w:numId w:val="5"/>
      </w:numPr>
    </w:pPr>
  </w:style>
  <w:style w:type="numbering" w:customStyle="1" w:styleId="RTFNum3">
    <w:name w:val="RTF_Num 3"/>
    <w:basedOn w:val="Sinlista"/>
    <w:rsid w:val="00F10B98"/>
    <w:pPr>
      <w:numPr>
        <w:numId w:val="6"/>
      </w:numPr>
    </w:pPr>
  </w:style>
  <w:style w:type="numbering" w:customStyle="1" w:styleId="RTFNum4">
    <w:name w:val="RTF_Num 4"/>
    <w:basedOn w:val="Sinlista"/>
    <w:rsid w:val="00F10B98"/>
    <w:pPr>
      <w:numPr>
        <w:numId w:val="7"/>
      </w:numPr>
    </w:pPr>
  </w:style>
  <w:style w:type="numbering" w:customStyle="1" w:styleId="RTFNum6">
    <w:name w:val="RTF_Num 6"/>
    <w:basedOn w:val="Sinlista"/>
    <w:rsid w:val="00F10B98"/>
    <w:pPr>
      <w:numPr>
        <w:numId w:val="8"/>
      </w:numPr>
    </w:pPr>
  </w:style>
  <w:style w:type="numbering" w:customStyle="1" w:styleId="RTFNum5">
    <w:name w:val="RTF_Num 5"/>
    <w:basedOn w:val="Sinlista"/>
    <w:rsid w:val="00F10B98"/>
    <w:pPr>
      <w:numPr>
        <w:numId w:val="9"/>
      </w:numPr>
    </w:pPr>
  </w:style>
  <w:style w:type="numbering" w:customStyle="1" w:styleId="RTFNum7">
    <w:name w:val="RTF_Num 7"/>
    <w:basedOn w:val="Sinlista"/>
    <w:rsid w:val="00F10B98"/>
    <w:pPr>
      <w:numPr>
        <w:numId w:val="10"/>
      </w:numPr>
    </w:pPr>
  </w:style>
  <w:style w:type="character" w:customStyle="1" w:styleId="EnlacedeInternet">
    <w:name w:val="Enlace de Internet"/>
    <w:basedOn w:val="Fuentedeprrafopredeter"/>
    <w:uiPriority w:val="99"/>
    <w:unhideWhenUsed/>
    <w:rsid w:val="00E072D3"/>
    <w:rPr>
      <w:color w:val="0000FF" w:themeColor="hyperlink"/>
      <w:u w:val="single"/>
    </w:rPr>
  </w:style>
  <w:style w:type="paragraph" w:styleId="Textocomentario">
    <w:name w:val="annotation text"/>
    <w:basedOn w:val="Normal"/>
    <w:link w:val="TextocomentarioCar"/>
    <w:uiPriority w:val="99"/>
    <w:semiHidden/>
    <w:unhideWhenUsed/>
    <w:rsid w:val="005375FA"/>
    <w:pPr>
      <w:spacing w:after="160" w:line="240" w:lineRule="auto"/>
    </w:pPr>
    <w:rPr>
      <w:rFonts w:asciiTheme="minorHAnsi" w:eastAsiaTheme="minorHAnsi" w:hAnsiTheme="minorHAnsi" w:cstheme="minorBidi"/>
      <w:sz w:val="20"/>
      <w:szCs w:val="20"/>
      <w:lang w:val="gl-ES"/>
    </w:rPr>
  </w:style>
  <w:style w:type="character" w:customStyle="1" w:styleId="TextocomentarioCar">
    <w:name w:val="Texto comentario Car"/>
    <w:basedOn w:val="Fuentedeprrafopredeter"/>
    <w:link w:val="Textocomentario"/>
    <w:uiPriority w:val="99"/>
    <w:semiHidden/>
    <w:rsid w:val="005375FA"/>
    <w:rPr>
      <w:rFonts w:asciiTheme="minorHAnsi" w:eastAsiaTheme="minorHAnsi" w:hAnsiTheme="minorHAnsi" w:cstheme="minorBidi"/>
      <w:sz w:val="20"/>
      <w:szCs w:val="20"/>
      <w:lang w:val="gl-ES" w:eastAsia="en-US"/>
    </w:rPr>
  </w:style>
  <w:style w:type="paragraph" w:customStyle="1" w:styleId="Pa0">
    <w:name w:val="Pa0"/>
    <w:basedOn w:val="Normal"/>
    <w:next w:val="Normal"/>
    <w:uiPriority w:val="99"/>
    <w:rsid w:val="005375FA"/>
    <w:pPr>
      <w:autoSpaceDE w:val="0"/>
      <w:autoSpaceDN w:val="0"/>
      <w:adjustRightInd w:val="0"/>
      <w:spacing w:after="0" w:line="241" w:lineRule="atLeast"/>
    </w:pPr>
    <w:rPr>
      <w:rFonts w:ascii="Times New Roman" w:eastAsiaTheme="minorHAnsi" w:hAnsi="Times New Roman"/>
      <w:sz w:val="24"/>
      <w:szCs w:val="24"/>
    </w:rPr>
  </w:style>
  <w:style w:type="paragraph" w:customStyle="1" w:styleId="Pa2">
    <w:name w:val="Pa2"/>
    <w:basedOn w:val="Normal"/>
    <w:next w:val="Normal"/>
    <w:uiPriority w:val="99"/>
    <w:rsid w:val="005375FA"/>
    <w:pPr>
      <w:autoSpaceDE w:val="0"/>
      <w:autoSpaceDN w:val="0"/>
      <w:adjustRightInd w:val="0"/>
      <w:spacing w:after="0" w:line="241" w:lineRule="atLeast"/>
    </w:pPr>
    <w:rPr>
      <w:rFonts w:ascii="Times New Roman" w:eastAsiaTheme="minorHAnsi" w:hAnsi="Times New Roman"/>
      <w:sz w:val="24"/>
      <w:szCs w:val="24"/>
    </w:rPr>
  </w:style>
  <w:style w:type="paragraph" w:customStyle="1" w:styleId="dog-parrafo-organismo">
    <w:name w:val="dog-parrafo-organismo"/>
    <w:basedOn w:val="Normal"/>
    <w:rsid w:val="005375FA"/>
    <w:pP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dog-parrafo-sumario">
    <w:name w:val="dog-parrafo-sumario"/>
    <w:basedOn w:val="Normal"/>
    <w:rsid w:val="005375FA"/>
    <w:pPr>
      <w:spacing w:before="100" w:beforeAutospacing="1" w:after="100" w:afterAutospacing="1" w:line="240" w:lineRule="auto"/>
    </w:pPr>
    <w:rPr>
      <w:rFonts w:ascii="Times New Roman" w:eastAsia="Times New Roman" w:hAnsi="Times New Roman"/>
      <w:sz w:val="24"/>
      <w:szCs w:val="24"/>
      <w:lang w:eastAsia="es-ES"/>
    </w:rPr>
  </w:style>
  <w:style w:type="character" w:styleId="Refdecomentario">
    <w:name w:val="annotation reference"/>
    <w:basedOn w:val="Fuentedeprrafopredeter"/>
    <w:uiPriority w:val="99"/>
    <w:semiHidden/>
    <w:unhideWhenUsed/>
    <w:rsid w:val="005375FA"/>
    <w:rPr>
      <w:sz w:val="16"/>
      <w:szCs w:val="16"/>
    </w:rPr>
  </w:style>
  <w:style w:type="character" w:customStyle="1" w:styleId="A3">
    <w:name w:val="A3"/>
    <w:uiPriority w:val="99"/>
    <w:rsid w:val="005375FA"/>
    <w:rPr>
      <w:color w:val="000000"/>
      <w:sz w:val="20"/>
      <w:szCs w:val="20"/>
    </w:rPr>
  </w:style>
  <w:style w:type="character" w:customStyle="1" w:styleId="dog-texto-sumario">
    <w:name w:val="dog-texto-sumario"/>
    <w:basedOn w:val="Fuentedeprrafopredeter"/>
    <w:rsid w:val="005375FA"/>
  </w:style>
  <w:style w:type="character" w:customStyle="1" w:styleId="ff2">
    <w:name w:val="ff2"/>
    <w:basedOn w:val="Fuentedeprrafopredeter"/>
    <w:rsid w:val="005375FA"/>
  </w:style>
  <w:style w:type="character" w:customStyle="1" w:styleId="ls3">
    <w:name w:val="ls3"/>
    <w:basedOn w:val="Fuentedeprrafopredeter"/>
    <w:rsid w:val="005375FA"/>
  </w:style>
  <w:style w:type="paragraph" w:styleId="HTMLconformatoprevio">
    <w:name w:val="HTML Preformatted"/>
    <w:basedOn w:val="Normal"/>
    <w:link w:val="HTMLconformatoprevioCar"/>
    <w:uiPriority w:val="99"/>
    <w:unhideWhenUsed/>
    <w:rsid w:val="00BC02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conformatoprevioCar">
    <w:name w:val="HTML con formato previo Car"/>
    <w:basedOn w:val="Fuentedeprrafopredeter"/>
    <w:link w:val="HTMLconformatoprevio"/>
    <w:uiPriority w:val="99"/>
    <w:semiHidden/>
    <w:rsid w:val="00BC0247"/>
    <w:rPr>
      <w:rFonts w:ascii="Courier New" w:eastAsia="Times New Roman" w:hAnsi="Courier New" w:cs="Courier New"/>
      <w:sz w:val="20"/>
      <w:szCs w:val="20"/>
    </w:rPr>
  </w:style>
  <w:style w:type="paragraph" w:customStyle="1" w:styleId="Prrafodelista1">
    <w:name w:val="Párrafo de lista1"/>
    <w:basedOn w:val="Normal"/>
    <w:rsid w:val="00BC0247"/>
    <w:pPr>
      <w:spacing w:after="0" w:line="240" w:lineRule="auto"/>
      <w:ind w:left="720"/>
    </w:pPr>
    <w:rPr>
      <w:rFonts w:eastAsia="Times New Roman" w:cs="Calibri"/>
    </w:rPr>
  </w:style>
  <w:style w:type="character" w:customStyle="1" w:styleId="y2iqfc">
    <w:name w:val="y2iqfc"/>
    <w:basedOn w:val="Fuentedeprrafopredeter"/>
    <w:rsid w:val="00BC0247"/>
  </w:style>
  <w:style w:type="character" w:customStyle="1" w:styleId="FootnoteTextChar">
    <w:name w:val="Footnote Text Char"/>
    <w:semiHidden/>
    <w:locked/>
    <w:rsid w:val="00BC0247"/>
    <w:rPr>
      <w:rFonts w:ascii="Times New Roman" w:hAnsi="Times New Roman" w:cs="Times New Roman" w:hint="default"/>
      <w:sz w:val="20"/>
      <w:szCs w:val="20"/>
    </w:rPr>
  </w:style>
  <w:style w:type="paragraph" w:styleId="TDC4">
    <w:name w:val="toc 4"/>
    <w:basedOn w:val="Normal"/>
    <w:next w:val="Normal"/>
    <w:autoRedefine/>
    <w:uiPriority w:val="39"/>
    <w:unhideWhenUsed/>
    <w:locked/>
    <w:rsid w:val="00BC0247"/>
    <w:pPr>
      <w:spacing w:after="100"/>
      <w:ind w:left="660"/>
    </w:pPr>
    <w:rPr>
      <w:rFonts w:asciiTheme="minorHAnsi" w:eastAsiaTheme="minorEastAsia" w:hAnsiTheme="minorHAnsi" w:cstheme="minorBidi"/>
      <w:lang w:eastAsia="es-ES"/>
    </w:rPr>
  </w:style>
  <w:style w:type="paragraph" w:styleId="TDC5">
    <w:name w:val="toc 5"/>
    <w:basedOn w:val="Normal"/>
    <w:next w:val="Normal"/>
    <w:autoRedefine/>
    <w:uiPriority w:val="39"/>
    <w:unhideWhenUsed/>
    <w:locked/>
    <w:rsid w:val="00BC0247"/>
    <w:pPr>
      <w:spacing w:after="100"/>
      <w:ind w:left="880"/>
    </w:pPr>
    <w:rPr>
      <w:rFonts w:asciiTheme="minorHAnsi" w:eastAsiaTheme="minorEastAsia" w:hAnsiTheme="minorHAnsi" w:cstheme="minorBidi"/>
      <w:lang w:eastAsia="es-ES"/>
    </w:rPr>
  </w:style>
  <w:style w:type="paragraph" w:styleId="TDC6">
    <w:name w:val="toc 6"/>
    <w:basedOn w:val="Normal"/>
    <w:next w:val="Normal"/>
    <w:autoRedefine/>
    <w:uiPriority w:val="39"/>
    <w:unhideWhenUsed/>
    <w:locked/>
    <w:rsid w:val="00BC0247"/>
    <w:pPr>
      <w:spacing w:after="100"/>
      <w:ind w:left="1100"/>
    </w:pPr>
    <w:rPr>
      <w:rFonts w:asciiTheme="minorHAnsi" w:eastAsiaTheme="minorEastAsia" w:hAnsiTheme="minorHAnsi" w:cstheme="minorBidi"/>
      <w:lang w:eastAsia="es-ES"/>
    </w:rPr>
  </w:style>
  <w:style w:type="paragraph" w:styleId="TDC7">
    <w:name w:val="toc 7"/>
    <w:basedOn w:val="Normal"/>
    <w:next w:val="Normal"/>
    <w:autoRedefine/>
    <w:uiPriority w:val="39"/>
    <w:unhideWhenUsed/>
    <w:locked/>
    <w:rsid w:val="00BC0247"/>
    <w:pPr>
      <w:spacing w:after="100"/>
      <w:ind w:left="1320"/>
    </w:pPr>
    <w:rPr>
      <w:rFonts w:asciiTheme="minorHAnsi" w:eastAsiaTheme="minorEastAsia" w:hAnsiTheme="minorHAnsi" w:cstheme="minorBidi"/>
      <w:lang w:eastAsia="es-ES"/>
    </w:rPr>
  </w:style>
  <w:style w:type="paragraph" w:styleId="TDC8">
    <w:name w:val="toc 8"/>
    <w:basedOn w:val="Normal"/>
    <w:next w:val="Normal"/>
    <w:autoRedefine/>
    <w:uiPriority w:val="39"/>
    <w:unhideWhenUsed/>
    <w:locked/>
    <w:rsid w:val="00BC0247"/>
    <w:pPr>
      <w:spacing w:after="100"/>
      <w:ind w:left="1540"/>
    </w:pPr>
    <w:rPr>
      <w:rFonts w:asciiTheme="minorHAnsi" w:eastAsiaTheme="minorEastAsia" w:hAnsiTheme="minorHAnsi" w:cstheme="minorBidi"/>
      <w:lang w:eastAsia="es-ES"/>
    </w:rPr>
  </w:style>
  <w:style w:type="paragraph" w:styleId="TDC9">
    <w:name w:val="toc 9"/>
    <w:basedOn w:val="Normal"/>
    <w:next w:val="Normal"/>
    <w:autoRedefine/>
    <w:uiPriority w:val="39"/>
    <w:unhideWhenUsed/>
    <w:locked/>
    <w:rsid w:val="00BC0247"/>
    <w:pPr>
      <w:spacing w:after="100"/>
      <w:ind w:left="1760"/>
    </w:pPr>
    <w:rPr>
      <w:rFonts w:asciiTheme="minorHAnsi" w:eastAsiaTheme="minorEastAsia" w:hAnsiTheme="minorHAnsi" w:cstheme="minorBidi"/>
      <w:lang w:eastAsia="es-ES"/>
    </w:rPr>
  </w:style>
  <w:style w:type="paragraph" w:styleId="Textonotaalfinal">
    <w:name w:val="endnote text"/>
    <w:basedOn w:val="Normal"/>
    <w:link w:val="TextonotaalfinalCar"/>
    <w:uiPriority w:val="99"/>
    <w:semiHidden/>
    <w:unhideWhenUsed/>
    <w:rsid w:val="00BC0247"/>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BC0247"/>
    <w:rPr>
      <w:sz w:val="20"/>
      <w:szCs w:val="20"/>
      <w:lang w:eastAsia="en-US"/>
    </w:rPr>
  </w:style>
  <w:style w:type="character" w:styleId="Refdenotaalfinal">
    <w:name w:val="endnote reference"/>
    <w:basedOn w:val="Fuentedeprrafopredeter"/>
    <w:uiPriority w:val="99"/>
    <w:semiHidden/>
    <w:unhideWhenUsed/>
    <w:rsid w:val="00BC0247"/>
    <w:rPr>
      <w:vertAlign w:val="superscript"/>
    </w:rPr>
  </w:style>
  <w:style w:type="character" w:customStyle="1" w:styleId="priority-content">
    <w:name w:val="priority-content"/>
    <w:basedOn w:val="Fuentedeprrafopredeter"/>
    <w:rsid w:val="004D2D6D"/>
  </w:style>
  <w:style w:type="character" w:customStyle="1" w:styleId="A1">
    <w:name w:val="A1"/>
    <w:uiPriority w:val="99"/>
    <w:rsid w:val="003B05C0"/>
    <w:rPr>
      <w:b/>
      <w:bCs/>
      <w:color w:val="221E1F"/>
    </w:rPr>
  </w:style>
  <w:style w:type="character" w:customStyle="1" w:styleId="a-list-item">
    <w:name w:val="a-list-item"/>
    <w:basedOn w:val="Fuentedeprrafopredeter"/>
    <w:rsid w:val="00D62200"/>
  </w:style>
  <w:style w:type="character" w:customStyle="1" w:styleId="a-text-bold">
    <w:name w:val="a-text-bold"/>
    <w:basedOn w:val="Fuentedeprrafopredeter"/>
    <w:rsid w:val="00D622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8385545">
      <w:bodyDiv w:val="1"/>
      <w:marLeft w:val="0"/>
      <w:marRight w:val="0"/>
      <w:marTop w:val="0"/>
      <w:marBottom w:val="0"/>
      <w:divBdr>
        <w:top w:val="none" w:sz="0" w:space="0" w:color="auto"/>
        <w:left w:val="none" w:sz="0" w:space="0" w:color="auto"/>
        <w:bottom w:val="none" w:sz="0" w:space="0" w:color="auto"/>
        <w:right w:val="none" w:sz="0" w:space="0" w:color="auto"/>
      </w:divBdr>
    </w:div>
    <w:div w:id="56517104">
      <w:bodyDiv w:val="1"/>
      <w:marLeft w:val="0"/>
      <w:marRight w:val="0"/>
      <w:marTop w:val="0"/>
      <w:marBottom w:val="0"/>
      <w:divBdr>
        <w:top w:val="none" w:sz="0" w:space="0" w:color="auto"/>
        <w:left w:val="none" w:sz="0" w:space="0" w:color="auto"/>
        <w:bottom w:val="none" w:sz="0" w:space="0" w:color="auto"/>
        <w:right w:val="none" w:sz="0" w:space="0" w:color="auto"/>
      </w:divBdr>
    </w:div>
    <w:div w:id="95105157">
      <w:bodyDiv w:val="1"/>
      <w:marLeft w:val="0"/>
      <w:marRight w:val="0"/>
      <w:marTop w:val="0"/>
      <w:marBottom w:val="0"/>
      <w:divBdr>
        <w:top w:val="none" w:sz="0" w:space="0" w:color="auto"/>
        <w:left w:val="none" w:sz="0" w:space="0" w:color="auto"/>
        <w:bottom w:val="none" w:sz="0" w:space="0" w:color="auto"/>
        <w:right w:val="none" w:sz="0" w:space="0" w:color="auto"/>
      </w:divBdr>
    </w:div>
    <w:div w:id="322314999">
      <w:bodyDiv w:val="1"/>
      <w:marLeft w:val="0"/>
      <w:marRight w:val="0"/>
      <w:marTop w:val="0"/>
      <w:marBottom w:val="0"/>
      <w:divBdr>
        <w:top w:val="none" w:sz="0" w:space="0" w:color="auto"/>
        <w:left w:val="none" w:sz="0" w:space="0" w:color="auto"/>
        <w:bottom w:val="none" w:sz="0" w:space="0" w:color="auto"/>
        <w:right w:val="none" w:sz="0" w:space="0" w:color="auto"/>
      </w:divBdr>
    </w:div>
    <w:div w:id="375325087">
      <w:bodyDiv w:val="1"/>
      <w:marLeft w:val="0"/>
      <w:marRight w:val="0"/>
      <w:marTop w:val="0"/>
      <w:marBottom w:val="0"/>
      <w:divBdr>
        <w:top w:val="none" w:sz="0" w:space="0" w:color="auto"/>
        <w:left w:val="none" w:sz="0" w:space="0" w:color="auto"/>
        <w:bottom w:val="none" w:sz="0" w:space="0" w:color="auto"/>
        <w:right w:val="none" w:sz="0" w:space="0" w:color="auto"/>
      </w:divBdr>
    </w:div>
    <w:div w:id="435056561">
      <w:bodyDiv w:val="1"/>
      <w:marLeft w:val="0"/>
      <w:marRight w:val="0"/>
      <w:marTop w:val="0"/>
      <w:marBottom w:val="0"/>
      <w:divBdr>
        <w:top w:val="none" w:sz="0" w:space="0" w:color="auto"/>
        <w:left w:val="none" w:sz="0" w:space="0" w:color="auto"/>
        <w:bottom w:val="none" w:sz="0" w:space="0" w:color="auto"/>
        <w:right w:val="none" w:sz="0" w:space="0" w:color="auto"/>
      </w:divBdr>
    </w:div>
    <w:div w:id="489948538">
      <w:bodyDiv w:val="1"/>
      <w:marLeft w:val="0"/>
      <w:marRight w:val="0"/>
      <w:marTop w:val="0"/>
      <w:marBottom w:val="0"/>
      <w:divBdr>
        <w:top w:val="none" w:sz="0" w:space="0" w:color="auto"/>
        <w:left w:val="none" w:sz="0" w:space="0" w:color="auto"/>
        <w:bottom w:val="none" w:sz="0" w:space="0" w:color="auto"/>
        <w:right w:val="none" w:sz="0" w:space="0" w:color="auto"/>
      </w:divBdr>
    </w:div>
    <w:div w:id="575672556">
      <w:bodyDiv w:val="1"/>
      <w:marLeft w:val="0"/>
      <w:marRight w:val="0"/>
      <w:marTop w:val="0"/>
      <w:marBottom w:val="0"/>
      <w:divBdr>
        <w:top w:val="none" w:sz="0" w:space="0" w:color="auto"/>
        <w:left w:val="none" w:sz="0" w:space="0" w:color="auto"/>
        <w:bottom w:val="none" w:sz="0" w:space="0" w:color="auto"/>
        <w:right w:val="none" w:sz="0" w:space="0" w:color="auto"/>
      </w:divBdr>
    </w:div>
    <w:div w:id="612515185">
      <w:bodyDiv w:val="1"/>
      <w:marLeft w:val="0"/>
      <w:marRight w:val="0"/>
      <w:marTop w:val="0"/>
      <w:marBottom w:val="0"/>
      <w:divBdr>
        <w:top w:val="none" w:sz="0" w:space="0" w:color="auto"/>
        <w:left w:val="none" w:sz="0" w:space="0" w:color="auto"/>
        <w:bottom w:val="none" w:sz="0" w:space="0" w:color="auto"/>
        <w:right w:val="none" w:sz="0" w:space="0" w:color="auto"/>
      </w:divBdr>
    </w:div>
    <w:div w:id="690375728">
      <w:bodyDiv w:val="1"/>
      <w:marLeft w:val="0"/>
      <w:marRight w:val="0"/>
      <w:marTop w:val="0"/>
      <w:marBottom w:val="0"/>
      <w:divBdr>
        <w:top w:val="none" w:sz="0" w:space="0" w:color="auto"/>
        <w:left w:val="none" w:sz="0" w:space="0" w:color="auto"/>
        <w:bottom w:val="none" w:sz="0" w:space="0" w:color="auto"/>
        <w:right w:val="none" w:sz="0" w:space="0" w:color="auto"/>
      </w:divBdr>
    </w:div>
    <w:div w:id="717630833">
      <w:bodyDiv w:val="1"/>
      <w:marLeft w:val="0"/>
      <w:marRight w:val="0"/>
      <w:marTop w:val="0"/>
      <w:marBottom w:val="0"/>
      <w:divBdr>
        <w:top w:val="none" w:sz="0" w:space="0" w:color="auto"/>
        <w:left w:val="none" w:sz="0" w:space="0" w:color="auto"/>
        <w:bottom w:val="none" w:sz="0" w:space="0" w:color="auto"/>
        <w:right w:val="none" w:sz="0" w:space="0" w:color="auto"/>
      </w:divBdr>
    </w:div>
    <w:div w:id="785075465">
      <w:bodyDiv w:val="1"/>
      <w:marLeft w:val="0"/>
      <w:marRight w:val="0"/>
      <w:marTop w:val="0"/>
      <w:marBottom w:val="0"/>
      <w:divBdr>
        <w:top w:val="none" w:sz="0" w:space="0" w:color="auto"/>
        <w:left w:val="none" w:sz="0" w:space="0" w:color="auto"/>
        <w:bottom w:val="none" w:sz="0" w:space="0" w:color="auto"/>
        <w:right w:val="none" w:sz="0" w:space="0" w:color="auto"/>
      </w:divBdr>
    </w:div>
    <w:div w:id="847403221">
      <w:bodyDiv w:val="1"/>
      <w:marLeft w:val="0"/>
      <w:marRight w:val="0"/>
      <w:marTop w:val="0"/>
      <w:marBottom w:val="0"/>
      <w:divBdr>
        <w:top w:val="none" w:sz="0" w:space="0" w:color="auto"/>
        <w:left w:val="none" w:sz="0" w:space="0" w:color="auto"/>
        <w:bottom w:val="none" w:sz="0" w:space="0" w:color="auto"/>
        <w:right w:val="none" w:sz="0" w:space="0" w:color="auto"/>
      </w:divBdr>
    </w:div>
    <w:div w:id="1038772806">
      <w:bodyDiv w:val="1"/>
      <w:marLeft w:val="0"/>
      <w:marRight w:val="0"/>
      <w:marTop w:val="0"/>
      <w:marBottom w:val="0"/>
      <w:divBdr>
        <w:top w:val="none" w:sz="0" w:space="0" w:color="auto"/>
        <w:left w:val="none" w:sz="0" w:space="0" w:color="auto"/>
        <w:bottom w:val="none" w:sz="0" w:space="0" w:color="auto"/>
        <w:right w:val="none" w:sz="0" w:space="0" w:color="auto"/>
      </w:divBdr>
    </w:div>
    <w:div w:id="1080520632">
      <w:bodyDiv w:val="1"/>
      <w:marLeft w:val="0"/>
      <w:marRight w:val="0"/>
      <w:marTop w:val="0"/>
      <w:marBottom w:val="0"/>
      <w:divBdr>
        <w:top w:val="none" w:sz="0" w:space="0" w:color="auto"/>
        <w:left w:val="none" w:sz="0" w:space="0" w:color="auto"/>
        <w:bottom w:val="none" w:sz="0" w:space="0" w:color="auto"/>
        <w:right w:val="none" w:sz="0" w:space="0" w:color="auto"/>
      </w:divBdr>
    </w:div>
    <w:div w:id="1129055965">
      <w:marLeft w:val="0"/>
      <w:marRight w:val="0"/>
      <w:marTop w:val="0"/>
      <w:marBottom w:val="0"/>
      <w:divBdr>
        <w:top w:val="none" w:sz="0" w:space="0" w:color="auto"/>
        <w:left w:val="none" w:sz="0" w:space="0" w:color="auto"/>
        <w:bottom w:val="none" w:sz="0" w:space="0" w:color="auto"/>
        <w:right w:val="none" w:sz="0" w:space="0" w:color="auto"/>
      </w:divBdr>
    </w:div>
    <w:div w:id="1129055966">
      <w:marLeft w:val="0"/>
      <w:marRight w:val="0"/>
      <w:marTop w:val="0"/>
      <w:marBottom w:val="0"/>
      <w:divBdr>
        <w:top w:val="none" w:sz="0" w:space="0" w:color="auto"/>
        <w:left w:val="none" w:sz="0" w:space="0" w:color="auto"/>
        <w:bottom w:val="none" w:sz="0" w:space="0" w:color="auto"/>
        <w:right w:val="none" w:sz="0" w:space="0" w:color="auto"/>
      </w:divBdr>
    </w:div>
    <w:div w:id="1129055967">
      <w:marLeft w:val="0"/>
      <w:marRight w:val="0"/>
      <w:marTop w:val="0"/>
      <w:marBottom w:val="0"/>
      <w:divBdr>
        <w:top w:val="none" w:sz="0" w:space="0" w:color="auto"/>
        <w:left w:val="none" w:sz="0" w:space="0" w:color="auto"/>
        <w:bottom w:val="none" w:sz="0" w:space="0" w:color="auto"/>
        <w:right w:val="none" w:sz="0" w:space="0" w:color="auto"/>
      </w:divBdr>
    </w:div>
    <w:div w:id="1129055968">
      <w:marLeft w:val="0"/>
      <w:marRight w:val="0"/>
      <w:marTop w:val="0"/>
      <w:marBottom w:val="0"/>
      <w:divBdr>
        <w:top w:val="none" w:sz="0" w:space="0" w:color="auto"/>
        <w:left w:val="none" w:sz="0" w:space="0" w:color="auto"/>
        <w:bottom w:val="none" w:sz="0" w:space="0" w:color="auto"/>
        <w:right w:val="none" w:sz="0" w:space="0" w:color="auto"/>
      </w:divBdr>
    </w:div>
    <w:div w:id="1129055969">
      <w:marLeft w:val="0"/>
      <w:marRight w:val="0"/>
      <w:marTop w:val="0"/>
      <w:marBottom w:val="0"/>
      <w:divBdr>
        <w:top w:val="none" w:sz="0" w:space="0" w:color="auto"/>
        <w:left w:val="none" w:sz="0" w:space="0" w:color="auto"/>
        <w:bottom w:val="none" w:sz="0" w:space="0" w:color="auto"/>
        <w:right w:val="none" w:sz="0" w:space="0" w:color="auto"/>
      </w:divBdr>
    </w:div>
    <w:div w:id="1129055970">
      <w:marLeft w:val="0"/>
      <w:marRight w:val="0"/>
      <w:marTop w:val="0"/>
      <w:marBottom w:val="0"/>
      <w:divBdr>
        <w:top w:val="none" w:sz="0" w:space="0" w:color="auto"/>
        <w:left w:val="none" w:sz="0" w:space="0" w:color="auto"/>
        <w:bottom w:val="none" w:sz="0" w:space="0" w:color="auto"/>
        <w:right w:val="none" w:sz="0" w:space="0" w:color="auto"/>
      </w:divBdr>
    </w:div>
    <w:div w:id="1129055971">
      <w:marLeft w:val="0"/>
      <w:marRight w:val="0"/>
      <w:marTop w:val="0"/>
      <w:marBottom w:val="0"/>
      <w:divBdr>
        <w:top w:val="none" w:sz="0" w:space="0" w:color="auto"/>
        <w:left w:val="none" w:sz="0" w:space="0" w:color="auto"/>
        <w:bottom w:val="none" w:sz="0" w:space="0" w:color="auto"/>
        <w:right w:val="none" w:sz="0" w:space="0" w:color="auto"/>
      </w:divBdr>
    </w:div>
    <w:div w:id="1129055972">
      <w:marLeft w:val="0"/>
      <w:marRight w:val="0"/>
      <w:marTop w:val="0"/>
      <w:marBottom w:val="0"/>
      <w:divBdr>
        <w:top w:val="none" w:sz="0" w:space="0" w:color="auto"/>
        <w:left w:val="none" w:sz="0" w:space="0" w:color="auto"/>
        <w:bottom w:val="none" w:sz="0" w:space="0" w:color="auto"/>
        <w:right w:val="none" w:sz="0" w:space="0" w:color="auto"/>
      </w:divBdr>
    </w:div>
    <w:div w:id="1129055973">
      <w:marLeft w:val="0"/>
      <w:marRight w:val="0"/>
      <w:marTop w:val="0"/>
      <w:marBottom w:val="0"/>
      <w:divBdr>
        <w:top w:val="none" w:sz="0" w:space="0" w:color="auto"/>
        <w:left w:val="none" w:sz="0" w:space="0" w:color="auto"/>
        <w:bottom w:val="none" w:sz="0" w:space="0" w:color="auto"/>
        <w:right w:val="none" w:sz="0" w:space="0" w:color="auto"/>
      </w:divBdr>
    </w:div>
    <w:div w:id="1129055974">
      <w:marLeft w:val="0"/>
      <w:marRight w:val="0"/>
      <w:marTop w:val="0"/>
      <w:marBottom w:val="0"/>
      <w:divBdr>
        <w:top w:val="none" w:sz="0" w:space="0" w:color="auto"/>
        <w:left w:val="none" w:sz="0" w:space="0" w:color="auto"/>
        <w:bottom w:val="none" w:sz="0" w:space="0" w:color="auto"/>
        <w:right w:val="none" w:sz="0" w:space="0" w:color="auto"/>
      </w:divBdr>
    </w:div>
    <w:div w:id="1129055975">
      <w:marLeft w:val="0"/>
      <w:marRight w:val="0"/>
      <w:marTop w:val="0"/>
      <w:marBottom w:val="0"/>
      <w:divBdr>
        <w:top w:val="none" w:sz="0" w:space="0" w:color="auto"/>
        <w:left w:val="none" w:sz="0" w:space="0" w:color="auto"/>
        <w:bottom w:val="none" w:sz="0" w:space="0" w:color="auto"/>
        <w:right w:val="none" w:sz="0" w:space="0" w:color="auto"/>
      </w:divBdr>
    </w:div>
    <w:div w:id="1129055976">
      <w:marLeft w:val="0"/>
      <w:marRight w:val="0"/>
      <w:marTop w:val="0"/>
      <w:marBottom w:val="0"/>
      <w:divBdr>
        <w:top w:val="none" w:sz="0" w:space="0" w:color="auto"/>
        <w:left w:val="none" w:sz="0" w:space="0" w:color="auto"/>
        <w:bottom w:val="none" w:sz="0" w:space="0" w:color="auto"/>
        <w:right w:val="none" w:sz="0" w:space="0" w:color="auto"/>
      </w:divBdr>
    </w:div>
    <w:div w:id="1129055977">
      <w:marLeft w:val="0"/>
      <w:marRight w:val="0"/>
      <w:marTop w:val="0"/>
      <w:marBottom w:val="0"/>
      <w:divBdr>
        <w:top w:val="none" w:sz="0" w:space="0" w:color="auto"/>
        <w:left w:val="none" w:sz="0" w:space="0" w:color="auto"/>
        <w:bottom w:val="none" w:sz="0" w:space="0" w:color="auto"/>
        <w:right w:val="none" w:sz="0" w:space="0" w:color="auto"/>
      </w:divBdr>
    </w:div>
    <w:div w:id="1129055978">
      <w:marLeft w:val="0"/>
      <w:marRight w:val="0"/>
      <w:marTop w:val="0"/>
      <w:marBottom w:val="0"/>
      <w:divBdr>
        <w:top w:val="none" w:sz="0" w:space="0" w:color="auto"/>
        <w:left w:val="none" w:sz="0" w:space="0" w:color="auto"/>
        <w:bottom w:val="none" w:sz="0" w:space="0" w:color="auto"/>
        <w:right w:val="none" w:sz="0" w:space="0" w:color="auto"/>
      </w:divBdr>
    </w:div>
    <w:div w:id="1129055979">
      <w:marLeft w:val="0"/>
      <w:marRight w:val="0"/>
      <w:marTop w:val="0"/>
      <w:marBottom w:val="0"/>
      <w:divBdr>
        <w:top w:val="none" w:sz="0" w:space="0" w:color="auto"/>
        <w:left w:val="none" w:sz="0" w:space="0" w:color="auto"/>
        <w:bottom w:val="none" w:sz="0" w:space="0" w:color="auto"/>
        <w:right w:val="none" w:sz="0" w:space="0" w:color="auto"/>
      </w:divBdr>
    </w:div>
    <w:div w:id="1129055980">
      <w:marLeft w:val="0"/>
      <w:marRight w:val="0"/>
      <w:marTop w:val="0"/>
      <w:marBottom w:val="0"/>
      <w:divBdr>
        <w:top w:val="none" w:sz="0" w:space="0" w:color="auto"/>
        <w:left w:val="none" w:sz="0" w:space="0" w:color="auto"/>
        <w:bottom w:val="none" w:sz="0" w:space="0" w:color="auto"/>
        <w:right w:val="none" w:sz="0" w:space="0" w:color="auto"/>
      </w:divBdr>
    </w:div>
    <w:div w:id="1129055981">
      <w:marLeft w:val="0"/>
      <w:marRight w:val="0"/>
      <w:marTop w:val="0"/>
      <w:marBottom w:val="0"/>
      <w:divBdr>
        <w:top w:val="none" w:sz="0" w:space="0" w:color="auto"/>
        <w:left w:val="none" w:sz="0" w:space="0" w:color="auto"/>
        <w:bottom w:val="none" w:sz="0" w:space="0" w:color="auto"/>
        <w:right w:val="none" w:sz="0" w:space="0" w:color="auto"/>
      </w:divBdr>
    </w:div>
    <w:div w:id="1129055982">
      <w:marLeft w:val="0"/>
      <w:marRight w:val="0"/>
      <w:marTop w:val="0"/>
      <w:marBottom w:val="0"/>
      <w:divBdr>
        <w:top w:val="none" w:sz="0" w:space="0" w:color="auto"/>
        <w:left w:val="none" w:sz="0" w:space="0" w:color="auto"/>
        <w:bottom w:val="none" w:sz="0" w:space="0" w:color="auto"/>
        <w:right w:val="none" w:sz="0" w:space="0" w:color="auto"/>
      </w:divBdr>
    </w:div>
    <w:div w:id="1129055983">
      <w:marLeft w:val="0"/>
      <w:marRight w:val="0"/>
      <w:marTop w:val="0"/>
      <w:marBottom w:val="0"/>
      <w:divBdr>
        <w:top w:val="none" w:sz="0" w:space="0" w:color="auto"/>
        <w:left w:val="none" w:sz="0" w:space="0" w:color="auto"/>
        <w:bottom w:val="none" w:sz="0" w:space="0" w:color="auto"/>
        <w:right w:val="none" w:sz="0" w:space="0" w:color="auto"/>
      </w:divBdr>
    </w:div>
    <w:div w:id="1129055984">
      <w:marLeft w:val="0"/>
      <w:marRight w:val="0"/>
      <w:marTop w:val="0"/>
      <w:marBottom w:val="0"/>
      <w:divBdr>
        <w:top w:val="none" w:sz="0" w:space="0" w:color="auto"/>
        <w:left w:val="none" w:sz="0" w:space="0" w:color="auto"/>
        <w:bottom w:val="none" w:sz="0" w:space="0" w:color="auto"/>
        <w:right w:val="none" w:sz="0" w:space="0" w:color="auto"/>
      </w:divBdr>
    </w:div>
    <w:div w:id="1129055985">
      <w:marLeft w:val="0"/>
      <w:marRight w:val="0"/>
      <w:marTop w:val="0"/>
      <w:marBottom w:val="0"/>
      <w:divBdr>
        <w:top w:val="none" w:sz="0" w:space="0" w:color="auto"/>
        <w:left w:val="none" w:sz="0" w:space="0" w:color="auto"/>
        <w:bottom w:val="none" w:sz="0" w:space="0" w:color="auto"/>
        <w:right w:val="none" w:sz="0" w:space="0" w:color="auto"/>
      </w:divBdr>
    </w:div>
    <w:div w:id="1129055986">
      <w:marLeft w:val="0"/>
      <w:marRight w:val="0"/>
      <w:marTop w:val="0"/>
      <w:marBottom w:val="0"/>
      <w:divBdr>
        <w:top w:val="none" w:sz="0" w:space="0" w:color="auto"/>
        <w:left w:val="none" w:sz="0" w:space="0" w:color="auto"/>
        <w:bottom w:val="none" w:sz="0" w:space="0" w:color="auto"/>
        <w:right w:val="none" w:sz="0" w:space="0" w:color="auto"/>
      </w:divBdr>
    </w:div>
    <w:div w:id="1129055987">
      <w:marLeft w:val="0"/>
      <w:marRight w:val="0"/>
      <w:marTop w:val="0"/>
      <w:marBottom w:val="0"/>
      <w:divBdr>
        <w:top w:val="none" w:sz="0" w:space="0" w:color="auto"/>
        <w:left w:val="none" w:sz="0" w:space="0" w:color="auto"/>
        <w:bottom w:val="none" w:sz="0" w:space="0" w:color="auto"/>
        <w:right w:val="none" w:sz="0" w:space="0" w:color="auto"/>
      </w:divBdr>
    </w:div>
    <w:div w:id="1129055988">
      <w:marLeft w:val="0"/>
      <w:marRight w:val="0"/>
      <w:marTop w:val="0"/>
      <w:marBottom w:val="0"/>
      <w:divBdr>
        <w:top w:val="none" w:sz="0" w:space="0" w:color="auto"/>
        <w:left w:val="none" w:sz="0" w:space="0" w:color="auto"/>
        <w:bottom w:val="none" w:sz="0" w:space="0" w:color="auto"/>
        <w:right w:val="none" w:sz="0" w:space="0" w:color="auto"/>
      </w:divBdr>
    </w:div>
    <w:div w:id="1129055989">
      <w:marLeft w:val="0"/>
      <w:marRight w:val="0"/>
      <w:marTop w:val="0"/>
      <w:marBottom w:val="0"/>
      <w:divBdr>
        <w:top w:val="none" w:sz="0" w:space="0" w:color="auto"/>
        <w:left w:val="none" w:sz="0" w:space="0" w:color="auto"/>
        <w:bottom w:val="none" w:sz="0" w:space="0" w:color="auto"/>
        <w:right w:val="none" w:sz="0" w:space="0" w:color="auto"/>
      </w:divBdr>
    </w:div>
    <w:div w:id="1129055990">
      <w:marLeft w:val="0"/>
      <w:marRight w:val="0"/>
      <w:marTop w:val="0"/>
      <w:marBottom w:val="0"/>
      <w:divBdr>
        <w:top w:val="none" w:sz="0" w:space="0" w:color="auto"/>
        <w:left w:val="none" w:sz="0" w:space="0" w:color="auto"/>
        <w:bottom w:val="none" w:sz="0" w:space="0" w:color="auto"/>
        <w:right w:val="none" w:sz="0" w:space="0" w:color="auto"/>
      </w:divBdr>
    </w:div>
    <w:div w:id="1129055991">
      <w:marLeft w:val="0"/>
      <w:marRight w:val="0"/>
      <w:marTop w:val="0"/>
      <w:marBottom w:val="0"/>
      <w:divBdr>
        <w:top w:val="none" w:sz="0" w:space="0" w:color="auto"/>
        <w:left w:val="none" w:sz="0" w:space="0" w:color="auto"/>
        <w:bottom w:val="none" w:sz="0" w:space="0" w:color="auto"/>
        <w:right w:val="none" w:sz="0" w:space="0" w:color="auto"/>
      </w:divBdr>
    </w:div>
    <w:div w:id="1129055992">
      <w:marLeft w:val="0"/>
      <w:marRight w:val="0"/>
      <w:marTop w:val="0"/>
      <w:marBottom w:val="0"/>
      <w:divBdr>
        <w:top w:val="none" w:sz="0" w:space="0" w:color="auto"/>
        <w:left w:val="none" w:sz="0" w:space="0" w:color="auto"/>
        <w:bottom w:val="none" w:sz="0" w:space="0" w:color="auto"/>
        <w:right w:val="none" w:sz="0" w:space="0" w:color="auto"/>
      </w:divBdr>
    </w:div>
    <w:div w:id="1129055993">
      <w:marLeft w:val="0"/>
      <w:marRight w:val="0"/>
      <w:marTop w:val="0"/>
      <w:marBottom w:val="0"/>
      <w:divBdr>
        <w:top w:val="none" w:sz="0" w:space="0" w:color="auto"/>
        <w:left w:val="none" w:sz="0" w:space="0" w:color="auto"/>
        <w:bottom w:val="none" w:sz="0" w:space="0" w:color="auto"/>
        <w:right w:val="none" w:sz="0" w:space="0" w:color="auto"/>
      </w:divBdr>
    </w:div>
    <w:div w:id="1129055994">
      <w:marLeft w:val="0"/>
      <w:marRight w:val="0"/>
      <w:marTop w:val="0"/>
      <w:marBottom w:val="0"/>
      <w:divBdr>
        <w:top w:val="none" w:sz="0" w:space="0" w:color="auto"/>
        <w:left w:val="none" w:sz="0" w:space="0" w:color="auto"/>
        <w:bottom w:val="none" w:sz="0" w:space="0" w:color="auto"/>
        <w:right w:val="none" w:sz="0" w:space="0" w:color="auto"/>
      </w:divBdr>
    </w:div>
    <w:div w:id="1129055995">
      <w:marLeft w:val="0"/>
      <w:marRight w:val="0"/>
      <w:marTop w:val="0"/>
      <w:marBottom w:val="0"/>
      <w:divBdr>
        <w:top w:val="none" w:sz="0" w:space="0" w:color="auto"/>
        <w:left w:val="none" w:sz="0" w:space="0" w:color="auto"/>
        <w:bottom w:val="none" w:sz="0" w:space="0" w:color="auto"/>
        <w:right w:val="none" w:sz="0" w:space="0" w:color="auto"/>
      </w:divBdr>
    </w:div>
    <w:div w:id="1247884787">
      <w:bodyDiv w:val="1"/>
      <w:marLeft w:val="0"/>
      <w:marRight w:val="0"/>
      <w:marTop w:val="0"/>
      <w:marBottom w:val="0"/>
      <w:divBdr>
        <w:top w:val="none" w:sz="0" w:space="0" w:color="auto"/>
        <w:left w:val="none" w:sz="0" w:space="0" w:color="auto"/>
        <w:bottom w:val="none" w:sz="0" w:space="0" w:color="auto"/>
        <w:right w:val="none" w:sz="0" w:space="0" w:color="auto"/>
      </w:divBdr>
    </w:div>
    <w:div w:id="1250701279">
      <w:bodyDiv w:val="1"/>
      <w:marLeft w:val="0"/>
      <w:marRight w:val="0"/>
      <w:marTop w:val="0"/>
      <w:marBottom w:val="0"/>
      <w:divBdr>
        <w:top w:val="none" w:sz="0" w:space="0" w:color="auto"/>
        <w:left w:val="none" w:sz="0" w:space="0" w:color="auto"/>
        <w:bottom w:val="none" w:sz="0" w:space="0" w:color="auto"/>
        <w:right w:val="none" w:sz="0" w:space="0" w:color="auto"/>
      </w:divBdr>
    </w:div>
    <w:div w:id="1286230996">
      <w:bodyDiv w:val="1"/>
      <w:marLeft w:val="0"/>
      <w:marRight w:val="0"/>
      <w:marTop w:val="0"/>
      <w:marBottom w:val="0"/>
      <w:divBdr>
        <w:top w:val="none" w:sz="0" w:space="0" w:color="auto"/>
        <w:left w:val="none" w:sz="0" w:space="0" w:color="auto"/>
        <w:bottom w:val="none" w:sz="0" w:space="0" w:color="auto"/>
        <w:right w:val="none" w:sz="0" w:space="0" w:color="auto"/>
      </w:divBdr>
    </w:div>
    <w:div w:id="1322737226">
      <w:bodyDiv w:val="1"/>
      <w:marLeft w:val="0"/>
      <w:marRight w:val="0"/>
      <w:marTop w:val="0"/>
      <w:marBottom w:val="0"/>
      <w:divBdr>
        <w:top w:val="none" w:sz="0" w:space="0" w:color="auto"/>
        <w:left w:val="none" w:sz="0" w:space="0" w:color="auto"/>
        <w:bottom w:val="none" w:sz="0" w:space="0" w:color="auto"/>
        <w:right w:val="none" w:sz="0" w:space="0" w:color="auto"/>
      </w:divBdr>
    </w:div>
    <w:div w:id="1346205518">
      <w:bodyDiv w:val="1"/>
      <w:marLeft w:val="0"/>
      <w:marRight w:val="0"/>
      <w:marTop w:val="0"/>
      <w:marBottom w:val="0"/>
      <w:divBdr>
        <w:top w:val="none" w:sz="0" w:space="0" w:color="auto"/>
        <w:left w:val="none" w:sz="0" w:space="0" w:color="auto"/>
        <w:bottom w:val="none" w:sz="0" w:space="0" w:color="auto"/>
        <w:right w:val="none" w:sz="0" w:space="0" w:color="auto"/>
      </w:divBdr>
    </w:div>
    <w:div w:id="1368263901">
      <w:bodyDiv w:val="1"/>
      <w:marLeft w:val="0"/>
      <w:marRight w:val="0"/>
      <w:marTop w:val="0"/>
      <w:marBottom w:val="0"/>
      <w:divBdr>
        <w:top w:val="none" w:sz="0" w:space="0" w:color="auto"/>
        <w:left w:val="none" w:sz="0" w:space="0" w:color="auto"/>
        <w:bottom w:val="none" w:sz="0" w:space="0" w:color="auto"/>
        <w:right w:val="none" w:sz="0" w:space="0" w:color="auto"/>
      </w:divBdr>
    </w:div>
    <w:div w:id="1519150893">
      <w:bodyDiv w:val="1"/>
      <w:marLeft w:val="0"/>
      <w:marRight w:val="0"/>
      <w:marTop w:val="0"/>
      <w:marBottom w:val="0"/>
      <w:divBdr>
        <w:top w:val="none" w:sz="0" w:space="0" w:color="auto"/>
        <w:left w:val="none" w:sz="0" w:space="0" w:color="auto"/>
        <w:bottom w:val="none" w:sz="0" w:space="0" w:color="auto"/>
        <w:right w:val="none" w:sz="0" w:space="0" w:color="auto"/>
      </w:divBdr>
    </w:div>
    <w:div w:id="1527988745">
      <w:bodyDiv w:val="1"/>
      <w:marLeft w:val="0"/>
      <w:marRight w:val="0"/>
      <w:marTop w:val="0"/>
      <w:marBottom w:val="0"/>
      <w:divBdr>
        <w:top w:val="none" w:sz="0" w:space="0" w:color="auto"/>
        <w:left w:val="none" w:sz="0" w:space="0" w:color="auto"/>
        <w:bottom w:val="none" w:sz="0" w:space="0" w:color="auto"/>
        <w:right w:val="none" w:sz="0" w:space="0" w:color="auto"/>
      </w:divBdr>
    </w:div>
    <w:div w:id="1573853596">
      <w:bodyDiv w:val="1"/>
      <w:marLeft w:val="0"/>
      <w:marRight w:val="0"/>
      <w:marTop w:val="0"/>
      <w:marBottom w:val="0"/>
      <w:divBdr>
        <w:top w:val="none" w:sz="0" w:space="0" w:color="auto"/>
        <w:left w:val="none" w:sz="0" w:space="0" w:color="auto"/>
        <w:bottom w:val="none" w:sz="0" w:space="0" w:color="auto"/>
        <w:right w:val="none" w:sz="0" w:space="0" w:color="auto"/>
      </w:divBdr>
    </w:div>
    <w:div w:id="1647778482">
      <w:bodyDiv w:val="1"/>
      <w:marLeft w:val="0"/>
      <w:marRight w:val="0"/>
      <w:marTop w:val="0"/>
      <w:marBottom w:val="0"/>
      <w:divBdr>
        <w:top w:val="none" w:sz="0" w:space="0" w:color="auto"/>
        <w:left w:val="none" w:sz="0" w:space="0" w:color="auto"/>
        <w:bottom w:val="none" w:sz="0" w:space="0" w:color="auto"/>
        <w:right w:val="none" w:sz="0" w:space="0" w:color="auto"/>
      </w:divBdr>
    </w:div>
    <w:div w:id="1683047912">
      <w:bodyDiv w:val="1"/>
      <w:marLeft w:val="0"/>
      <w:marRight w:val="0"/>
      <w:marTop w:val="0"/>
      <w:marBottom w:val="0"/>
      <w:divBdr>
        <w:top w:val="none" w:sz="0" w:space="0" w:color="auto"/>
        <w:left w:val="none" w:sz="0" w:space="0" w:color="auto"/>
        <w:bottom w:val="none" w:sz="0" w:space="0" w:color="auto"/>
        <w:right w:val="none" w:sz="0" w:space="0" w:color="auto"/>
      </w:divBdr>
    </w:div>
    <w:div w:id="1690981972">
      <w:bodyDiv w:val="1"/>
      <w:marLeft w:val="0"/>
      <w:marRight w:val="0"/>
      <w:marTop w:val="0"/>
      <w:marBottom w:val="0"/>
      <w:divBdr>
        <w:top w:val="none" w:sz="0" w:space="0" w:color="auto"/>
        <w:left w:val="none" w:sz="0" w:space="0" w:color="auto"/>
        <w:bottom w:val="none" w:sz="0" w:space="0" w:color="auto"/>
        <w:right w:val="none" w:sz="0" w:space="0" w:color="auto"/>
      </w:divBdr>
    </w:div>
    <w:div w:id="1712655944">
      <w:bodyDiv w:val="1"/>
      <w:marLeft w:val="0"/>
      <w:marRight w:val="0"/>
      <w:marTop w:val="0"/>
      <w:marBottom w:val="0"/>
      <w:divBdr>
        <w:top w:val="none" w:sz="0" w:space="0" w:color="auto"/>
        <w:left w:val="none" w:sz="0" w:space="0" w:color="auto"/>
        <w:bottom w:val="none" w:sz="0" w:space="0" w:color="auto"/>
        <w:right w:val="none" w:sz="0" w:space="0" w:color="auto"/>
      </w:divBdr>
    </w:div>
    <w:div w:id="1777019053">
      <w:bodyDiv w:val="1"/>
      <w:marLeft w:val="0"/>
      <w:marRight w:val="0"/>
      <w:marTop w:val="0"/>
      <w:marBottom w:val="0"/>
      <w:divBdr>
        <w:top w:val="none" w:sz="0" w:space="0" w:color="auto"/>
        <w:left w:val="none" w:sz="0" w:space="0" w:color="auto"/>
        <w:bottom w:val="none" w:sz="0" w:space="0" w:color="auto"/>
        <w:right w:val="none" w:sz="0" w:space="0" w:color="auto"/>
      </w:divBdr>
    </w:div>
    <w:div w:id="1835611360">
      <w:bodyDiv w:val="1"/>
      <w:marLeft w:val="0"/>
      <w:marRight w:val="0"/>
      <w:marTop w:val="0"/>
      <w:marBottom w:val="0"/>
      <w:divBdr>
        <w:top w:val="none" w:sz="0" w:space="0" w:color="auto"/>
        <w:left w:val="none" w:sz="0" w:space="0" w:color="auto"/>
        <w:bottom w:val="none" w:sz="0" w:space="0" w:color="auto"/>
        <w:right w:val="none" w:sz="0" w:space="0" w:color="auto"/>
      </w:divBdr>
    </w:div>
    <w:div w:id="1849908581">
      <w:bodyDiv w:val="1"/>
      <w:marLeft w:val="0"/>
      <w:marRight w:val="0"/>
      <w:marTop w:val="0"/>
      <w:marBottom w:val="0"/>
      <w:divBdr>
        <w:top w:val="none" w:sz="0" w:space="0" w:color="auto"/>
        <w:left w:val="none" w:sz="0" w:space="0" w:color="auto"/>
        <w:bottom w:val="none" w:sz="0" w:space="0" w:color="auto"/>
        <w:right w:val="none" w:sz="0" w:space="0" w:color="auto"/>
      </w:divBdr>
    </w:div>
    <w:div w:id="1907573449">
      <w:bodyDiv w:val="1"/>
      <w:marLeft w:val="0"/>
      <w:marRight w:val="0"/>
      <w:marTop w:val="0"/>
      <w:marBottom w:val="0"/>
      <w:divBdr>
        <w:top w:val="none" w:sz="0" w:space="0" w:color="auto"/>
        <w:left w:val="none" w:sz="0" w:space="0" w:color="auto"/>
        <w:bottom w:val="none" w:sz="0" w:space="0" w:color="auto"/>
        <w:right w:val="none" w:sz="0" w:space="0" w:color="auto"/>
      </w:divBdr>
    </w:div>
    <w:div w:id="1937713687">
      <w:bodyDiv w:val="1"/>
      <w:marLeft w:val="0"/>
      <w:marRight w:val="0"/>
      <w:marTop w:val="0"/>
      <w:marBottom w:val="0"/>
      <w:divBdr>
        <w:top w:val="none" w:sz="0" w:space="0" w:color="auto"/>
        <w:left w:val="none" w:sz="0" w:space="0" w:color="auto"/>
        <w:bottom w:val="none" w:sz="0" w:space="0" w:color="auto"/>
        <w:right w:val="none" w:sz="0" w:space="0" w:color="auto"/>
      </w:divBdr>
    </w:div>
    <w:div w:id="1941982451">
      <w:bodyDiv w:val="1"/>
      <w:marLeft w:val="0"/>
      <w:marRight w:val="0"/>
      <w:marTop w:val="0"/>
      <w:marBottom w:val="0"/>
      <w:divBdr>
        <w:top w:val="none" w:sz="0" w:space="0" w:color="auto"/>
        <w:left w:val="none" w:sz="0" w:space="0" w:color="auto"/>
        <w:bottom w:val="none" w:sz="0" w:space="0" w:color="auto"/>
        <w:right w:val="none" w:sz="0" w:space="0" w:color="auto"/>
      </w:divBdr>
    </w:div>
    <w:div w:id="2023893479">
      <w:bodyDiv w:val="1"/>
      <w:marLeft w:val="0"/>
      <w:marRight w:val="0"/>
      <w:marTop w:val="0"/>
      <w:marBottom w:val="0"/>
      <w:divBdr>
        <w:top w:val="none" w:sz="0" w:space="0" w:color="auto"/>
        <w:left w:val="none" w:sz="0" w:space="0" w:color="auto"/>
        <w:bottom w:val="none" w:sz="0" w:space="0" w:color="auto"/>
        <w:right w:val="none" w:sz="0" w:space="0" w:color="auto"/>
      </w:divBdr>
    </w:div>
    <w:div w:id="2087998568">
      <w:bodyDiv w:val="1"/>
      <w:marLeft w:val="0"/>
      <w:marRight w:val="0"/>
      <w:marTop w:val="0"/>
      <w:marBottom w:val="0"/>
      <w:divBdr>
        <w:top w:val="none" w:sz="0" w:space="0" w:color="auto"/>
        <w:left w:val="none" w:sz="0" w:space="0" w:color="auto"/>
        <w:bottom w:val="none" w:sz="0" w:space="0" w:color="auto"/>
        <w:right w:val="none" w:sz="0" w:space="0" w:color="auto"/>
      </w:divBdr>
    </w:div>
    <w:div w:id="2090151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3.jpeg"/><Relationship Id="rId21" Type="http://schemas.openxmlformats.org/officeDocument/2006/relationships/hyperlink" Target="https://www.arcgis.com/apps/webappviewer/index.html?id=4bae3fad95b6439bacef9d1a316765e9" TargetMode="External"/><Relationship Id="rId42" Type="http://schemas.openxmlformats.org/officeDocument/2006/relationships/hyperlink" Target="https://valminortv.com/2020/11/07/ecoloxistas-en-accion-llama-a-proteger-la-riqueza-de-la-serra-da-groba-y-o-galineiro/" TargetMode="External"/><Relationship Id="rId63" Type="http://schemas.openxmlformats.org/officeDocument/2006/relationships/hyperlink" Target="https://www.boe.es/buscar/pdf/2003/BOE-A-2003-21339-consolidado.pdf" TargetMode="External"/><Relationship Id="rId84" Type="http://schemas.openxmlformats.org/officeDocument/2006/relationships/image" Target="media/image13.png"/><Relationship Id="rId138" Type="http://schemas.openxmlformats.org/officeDocument/2006/relationships/fontTable" Target="fontTable.xml"/><Relationship Id="rId16" Type="http://schemas.openxmlformats.org/officeDocument/2006/relationships/hyperlink" Target="https://www.ree.es/es/datos/publicaciones/informe-anual-sistema" TargetMode="External"/><Relationship Id="rId107" Type="http://schemas.openxmlformats.org/officeDocument/2006/relationships/comments" Target="comments.xml"/><Relationship Id="rId11" Type="http://schemas.openxmlformats.org/officeDocument/2006/relationships/hyperlink" Target="https://cincodias.elpais.com/cincodias/2022/01/10/lifestyle/1641792708_835348.html" TargetMode="External"/><Relationship Id="rId32" Type="http://schemas.openxmlformats.org/officeDocument/2006/relationships/hyperlink" Target="https://www.mitma.gob.es/recursos_mfom/pdf/B1EC4D87-7D64-465E-89AE-18C176AAFA38/73086/12002E_ES.pdf" TargetMode="External"/><Relationship Id="rId37" Type="http://schemas.openxmlformats.org/officeDocument/2006/relationships/hyperlink" Target="https://www.lavozdegalicia.es/noticia/vigo/2007/10/07/plataforma-sos-groba-organiza-hoy-ruta-reivindicativa-sierra-baionesa/0003_6206572.htm" TargetMode="External"/><Relationship Id="rId53" Type="http://schemas.openxmlformats.org/officeDocument/2006/relationships/hyperlink" Target="https://www.lavozdegalicia.es/noticia/vigo/2022/09/23/xunta-rechaza-parque-eolico-groba-impacto-ambiental/0003_202209V23C5998.htm" TargetMode="External"/><Relationship Id="rId58" Type="http://schemas.openxmlformats.org/officeDocument/2006/relationships/hyperlink" Target="https://iem.gal/seccions-iem/seccion-arqueoloxia/destruindo-o-patrimonio-as-agresions-o-patrimonio-cos-parque-eolicos-na-groba/" TargetMode="External"/><Relationship Id="rId74" Type="http://schemas.openxmlformats.org/officeDocument/2006/relationships/footer" Target="footer1.xml"/><Relationship Id="rId79" Type="http://schemas.openxmlformats.org/officeDocument/2006/relationships/hyperlink" Target="https://dialnet.unirioja.es/servlet/revista?codigo=1091" TargetMode="External"/><Relationship Id="rId102" Type="http://schemas.openxmlformats.org/officeDocument/2006/relationships/image" Target="media/image24.jpeg"/><Relationship Id="rId123" Type="http://schemas.openxmlformats.org/officeDocument/2006/relationships/image" Target="media/image39.png"/><Relationship Id="rId128" Type="http://schemas.openxmlformats.org/officeDocument/2006/relationships/image" Target="media/image44.png"/><Relationship Id="rId5" Type="http://schemas.openxmlformats.org/officeDocument/2006/relationships/webSettings" Target="webSettings.xml"/><Relationship Id="rId90" Type="http://schemas.openxmlformats.org/officeDocument/2006/relationships/image" Target="media/image17.jpeg"/><Relationship Id="rId95" Type="http://schemas.openxmlformats.org/officeDocument/2006/relationships/image" Target="media/image22.jpeg"/><Relationship Id="rId22" Type="http://schemas.openxmlformats.org/officeDocument/2006/relationships/hyperlink" Target="https://www.xunta.gal/dog/Publicados/1997/19971215/AnuncioF8FA_gl.html" TargetMode="External"/><Relationship Id="rId27" Type="http://schemas.openxmlformats.org/officeDocument/2006/relationships/hyperlink" Target="https://www.boe.es/boe/dias/2001/05/09/pdfs/A16607-16616.pdf" TargetMode="External"/><Relationship Id="rId43" Type="http://schemas.openxmlformats.org/officeDocument/2006/relationships/hyperlink" Target="https://telemarinas.com/o-bng-de-oia-logra-o-acordo-do-pleno-para-rexeitar-o-megaproxecto-eolico-na-serra-do-galineiro-a-groba-e-o-merendon/" TargetMode="External"/><Relationship Id="rId48" Type="http://schemas.openxmlformats.org/officeDocument/2006/relationships/hyperlink" Target="https://www.farodevigo.es/comarcas/2021/05/17/eolicos-seran-morte-definitiva-da-51902472.html" TargetMode="External"/><Relationship Id="rId64" Type="http://schemas.openxmlformats.org/officeDocument/2006/relationships/hyperlink" Target="https://loboiberico.com/wp-content/uploads/2014/06/decreto_297_2008_plan_galicia.pdf" TargetMode="External"/><Relationship Id="rId69" Type="http://schemas.openxmlformats.org/officeDocument/2006/relationships/image" Target="media/image9.emf"/><Relationship Id="rId113" Type="http://schemas.openxmlformats.org/officeDocument/2006/relationships/image" Target="media/image31.jpeg"/><Relationship Id="rId118" Type="http://schemas.openxmlformats.org/officeDocument/2006/relationships/image" Target="media/image34.jpeg"/><Relationship Id="rId134" Type="http://schemas.openxmlformats.org/officeDocument/2006/relationships/image" Target="media/image50.png"/><Relationship Id="rId139" Type="http://schemas.openxmlformats.org/officeDocument/2006/relationships/theme" Target="theme/theme1.xml"/><Relationship Id="rId80" Type="http://schemas.openxmlformats.org/officeDocument/2006/relationships/hyperlink" Target="https://dialnet.unirioja.es/ejemplar/463596" TargetMode="External"/><Relationship Id="rId85" Type="http://schemas.openxmlformats.org/officeDocument/2006/relationships/image" Target="media/image14.png"/><Relationship Id="rId12" Type="http://schemas.openxmlformats.org/officeDocument/2006/relationships/hyperlink" Target="https://www.xataka.com/basics/fin-soporte-flash-player-que-significa-que-pasa-a-partir-ahora" TargetMode="External"/><Relationship Id="rId17" Type="http://schemas.openxmlformats.org/officeDocument/2006/relationships/image" Target="media/image4.png"/><Relationship Id="rId33" Type="http://schemas.openxmlformats.org/officeDocument/2006/relationships/hyperlink" Target="https://www.boe.es/doue/2010/083/Z00047-00199.pdf" TargetMode="External"/><Relationship Id="rId38" Type="http://schemas.openxmlformats.org/officeDocument/2006/relationships/hyperlink" Target="https://www.lavozdegalicia.es/noticia/vigo/2010/03/28/colectivos-val-minor-piden-incluir-sierra-groba-red-natura/0003_8384907.htm" TargetMode="External"/><Relationship Id="rId59" Type="http://schemas.openxmlformats.org/officeDocument/2006/relationships/hyperlink" Target="https://www.iem.gal" TargetMode="External"/><Relationship Id="rId103" Type="http://schemas.openxmlformats.org/officeDocument/2006/relationships/image" Target="media/image25.jpeg"/><Relationship Id="rId108" Type="http://schemas.microsoft.com/office/2011/relationships/commentsExtended" Target="commentsExtended.xml"/><Relationship Id="rId124" Type="http://schemas.openxmlformats.org/officeDocument/2006/relationships/image" Target="media/image40.png"/><Relationship Id="rId129" Type="http://schemas.openxmlformats.org/officeDocument/2006/relationships/image" Target="media/image45.png"/><Relationship Id="rId54" Type="http://schemas.openxmlformats.org/officeDocument/2006/relationships/hyperlink" Target="https://praza.gal/economia/o-impacto-paisaxistico-critico-e-irreversible-tomba-o-segundo-parque-eolico-previsto-na-serra-da-groba" TargetMode="External"/><Relationship Id="rId70" Type="http://schemas.openxmlformats.org/officeDocument/2006/relationships/hyperlink" Target="http://ashega.blogspot.com/2013/05/volta-da-cuvia.html" TargetMode="External"/><Relationship Id="rId75" Type="http://schemas.openxmlformats.org/officeDocument/2006/relationships/hyperlink" Target="https://oficinadelperegrino.com/" TargetMode="External"/><Relationship Id="rId91" Type="http://schemas.openxmlformats.org/officeDocument/2006/relationships/image" Target="media/image18.jpeg"/><Relationship Id="rId96" Type="http://schemas.openxmlformats.org/officeDocument/2006/relationships/hyperlink" Target="https://ich.unesco.org/en/hom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eur-lex.europa.eu/legal-content/ES/TXT/PDF/?uri=CELEX:31985L0337&amp;from=ES" TargetMode="External"/><Relationship Id="rId28" Type="http://schemas.openxmlformats.org/officeDocument/2006/relationships/hyperlink" Target="http://consellodacultura.gal/publicacion.php?id=4437" TargetMode="External"/><Relationship Id="rId49" Type="http://schemas.openxmlformats.org/officeDocument/2006/relationships/hyperlink" Target="https://www.publico.es/sociedad/parques-eolicos-galicia-estrategia-energetica-feijoo-levanta-protesta-ciudadana-parques-eolicos.html" TargetMode="External"/><Relationship Id="rId114" Type="http://schemas.openxmlformats.org/officeDocument/2006/relationships/image" Target="media/image32.jpeg"/><Relationship Id="rId119" Type="http://schemas.openxmlformats.org/officeDocument/2006/relationships/image" Target="media/image35.jpeg"/><Relationship Id="rId44" Type="http://schemas.openxmlformats.org/officeDocument/2006/relationships/hyperlink" Target="https://telemarinas.com/o-rosal-rechaza-el-proyecto-del-parque-eolico-en-a-serra-da-groba/" TargetMode="External"/><Relationship Id="rId60" Type="http://schemas.openxmlformats.org/officeDocument/2006/relationships/hyperlink" Target="http://consellodacultura.gal/publicacion.php?id=4437" TargetMode="External"/><Relationship Id="rId65" Type="http://schemas.openxmlformats.org/officeDocument/2006/relationships/image" Target="media/image6.png"/><Relationship Id="rId81" Type="http://schemas.openxmlformats.org/officeDocument/2006/relationships/hyperlink" Target="https://dspace.usc.es/xmlui/handle/10347/20858" TargetMode="External"/><Relationship Id="rId86" Type="http://schemas.openxmlformats.org/officeDocument/2006/relationships/hyperlink" Target="https://galicianomeada.xunta.gal/sixtop/visor" TargetMode="External"/><Relationship Id="rId130" Type="http://schemas.openxmlformats.org/officeDocument/2006/relationships/image" Target="media/image46.png"/><Relationship Id="rId135" Type="http://schemas.openxmlformats.org/officeDocument/2006/relationships/image" Target="media/image51.png"/><Relationship Id="rId13" Type="http://schemas.openxmlformats.org/officeDocument/2006/relationships/hyperlink" Target="https://www.kaspersky.es/blog/adobe-flash-40th-day-after/24747/" TargetMode="External"/><Relationship Id="rId18" Type="http://schemas.openxmlformats.org/officeDocument/2006/relationships/image" Target="media/image5.jpg"/><Relationship Id="rId39" Type="http://schemas.openxmlformats.org/officeDocument/2006/relationships/hyperlink" Target="https://elpais.com/diario/2012/01/02/galicia/1325503092_850215.html" TargetMode="External"/><Relationship Id="rId109" Type="http://schemas.microsoft.com/office/2016/09/relationships/commentsIds" Target="commentsIds.xml"/><Relationship Id="rId34" Type="http://schemas.openxmlformats.org/officeDocument/2006/relationships/hyperlink" Target="https://ec.europa.yo/commission/presscorner/detail/eres/INF_20_1212" TargetMode="External"/><Relationship Id="rId50" Type="http://schemas.openxmlformats.org/officeDocument/2006/relationships/hyperlink" Target="https://cadenaser.com/emisora/2021/11/08/radio_vigo/1636377863_284785.html" TargetMode="External"/><Relationship Id="rId55" Type="http://schemas.openxmlformats.org/officeDocument/2006/relationships/hyperlink" Target="https://www.elcorreogallego.es/galicia/freno-a-otro-parque-eolico-en-la-serra-da-groba-por-su-impacto-ambiental-critico-e-irreversible-NO12497695" TargetMode="External"/><Relationship Id="rId76" Type="http://schemas.openxmlformats.org/officeDocument/2006/relationships/hyperlink" Target="https://galicianomeada.xunta.gal/sixtop/visor" TargetMode="External"/><Relationship Id="rId97" Type="http://schemas.openxmlformats.org/officeDocument/2006/relationships/hyperlink" Target="https://www.xunta.gal/dog/Publicados/2016/20160929/AnuncioG0164-210916-0002_gl.html" TargetMode="External"/><Relationship Id="rId104" Type="http://schemas.openxmlformats.org/officeDocument/2006/relationships/image" Target="media/image26.jpeg"/><Relationship Id="rId120" Type="http://schemas.openxmlformats.org/officeDocument/2006/relationships/image" Target="media/image36.jpeg"/><Relationship Id="rId125"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hyperlink" Target="https://herpetologica.es/a-riqueza-da-serra-da-groba-esta-rente-ao-chan-2-parte-o-descubrimento-do-escancer-iberico-e-os-reptiles/" TargetMode="External"/><Relationship Id="rId92" Type="http://schemas.openxmlformats.org/officeDocument/2006/relationships/image" Target="media/image19.jpeg"/><Relationship Id="rId2" Type="http://schemas.openxmlformats.org/officeDocument/2006/relationships/numbering" Target="numbering.xml"/><Relationship Id="rId29" Type="http://schemas.openxmlformats.org/officeDocument/2006/relationships/hyperlink" Target="http://consellodacultura.gal/publicacion.php?id=4437" TargetMode="External"/><Relationship Id="rId24" Type="http://schemas.openxmlformats.org/officeDocument/2006/relationships/hyperlink" Target="https://www.boe.es/boe/dias/1986/06/30/pdfs/A23733-23735.pdf" TargetMode="External"/><Relationship Id="rId40" Type="http://schemas.openxmlformats.org/officeDocument/2006/relationships/hyperlink" Target="https://www.farodevigo.es/comarcas/2012/03/24/cuarenta-colectivos-exigen-groba-o-17671127.html" TargetMode="External"/><Relationship Id="rId45" Type="http://schemas.openxmlformats.org/officeDocument/2006/relationships/hyperlink" Target="https://www.farodevigo.es/comarcas/2021/01/29/lucha-parques-eolicos-groba-o-32068057.html" TargetMode="External"/><Relationship Id="rId66" Type="http://schemas.openxmlformats.org/officeDocument/2006/relationships/image" Target="media/image7.jpg"/><Relationship Id="rId87" Type="http://schemas.openxmlformats.org/officeDocument/2006/relationships/image" Target="media/image15.png"/><Relationship Id="rId110" Type="http://schemas.openxmlformats.org/officeDocument/2006/relationships/hyperlink" Target="https://www.cultura.gal/gl/pedra-seco-patrimonio-inmaterial" TargetMode="External"/><Relationship Id="rId115" Type="http://schemas.openxmlformats.org/officeDocument/2006/relationships/hyperlink" Target="http://consellodacultura.gal/mediateca/extras/2019_O-Antropoceno-e-a-Grande-Aceleracion_Unha-ollada-desde-Galicia_La-repoblacion-forestal-publica-en-Galicia-durante-el-siglo-XX_Eduardo-Rico-Boquete_pp112-129.pdf" TargetMode="External"/><Relationship Id="rId131" Type="http://schemas.openxmlformats.org/officeDocument/2006/relationships/image" Target="media/image47.png"/><Relationship Id="rId136" Type="http://schemas.openxmlformats.org/officeDocument/2006/relationships/image" Target="media/image52.png"/><Relationship Id="rId61" Type="http://schemas.openxmlformats.org/officeDocument/2006/relationships/hyperlink" Target="https://www.salvemosmonteferro.org" TargetMode="External"/><Relationship Id="rId82" Type="http://schemas.openxmlformats.org/officeDocument/2006/relationships/image" Target="media/image11.png"/><Relationship Id="rId19" Type="http://schemas.openxmlformats.org/officeDocument/2006/relationships/hyperlink" Target="https://www.miteco.gob.es/es/prensa/pniec.aspx" TargetMode="External"/><Relationship Id="rId14" Type="http://schemas.openxmlformats.org/officeDocument/2006/relationships/hyperlink" Target="https://www.boe.es/doue/2009/140/L00016-00062.pdf" TargetMode="External"/><Relationship Id="rId30" Type="http://schemas.openxmlformats.org/officeDocument/2006/relationships/hyperlink" Target="https://www.boe.es/buscar/pdf/2021/BOE-A-2021-8447-consolidado.pdf" TargetMode="External"/><Relationship Id="rId35" Type="http://schemas.openxmlformats.org/officeDocument/2006/relationships/hyperlink" Target="https://www.diario.eco/insuficiente-proteccion-diere%20la-red-natura-2000/" TargetMode="External"/><Relationship Id="rId56" Type="http://schemas.openxmlformats.org/officeDocument/2006/relationships/hyperlink" Target="https://cadenaser.com/galicia/2023/01/16/ofensiva-de-alegaciones-contra-el-parque-eolico-torona-ser-baixo-mino/" TargetMode="External"/><Relationship Id="rId77" Type="http://schemas.openxmlformats.org/officeDocument/2006/relationships/image" Target="media/image10.jpeg"/><Relationship Id="rId100" Type="http://schemas.openxmlformats.org/officeDocument/2006/relationships/hyperlink" Target="https://www.xunta.gal/dog/Publicados/2021/20210201/AnuncioG0532-120121-0001_gl.html" TargetMode="External"/><Relationship Id="rId105" Type="http://schemas.openxmlformats.org/officeDocument/2006/relationships/image" Target="media/image27.jpeg"/><Relationship Id="rId126"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hyperlink" Target="https://telemarinas.com/el-concello-de-oia-alegara-contra-el-parque-eolico-del-merendon/" TargetMode="External"/><Relationship Id="rId72" Type="http://schemas.openxmlformats.org/officeDocument/2006/relationships/hyperlink" Target="https://biodiversidade.eu/especie/pelobates-cultripes/?lang=es" TargetMode="External"/><Relationship Id="rId93" Type="http://schemas.openxmlformats.org/officeDocument/2006/relationships/image" Target="media/image20.jpeg"/><Relationship Id="rId98" Type="http://schemas.openxmlformats.org/officeDocument/2006/relationships/hyperlink" Target="https://iem.gal/docs/REM/REM_12-13/03.pdf" TargetMode="External"/><Relationship Id="rId121" Type="http://schemas.openxmlformats.org/officeDocument/2006/relationships/image" Target="media/image37.jpeg"/><Relationship Id="rId3" Type="http://schemas.openxmlformats.org/officeDocument/2006/relationships/styles" Target="styles.xml"/><Relationship Id="rId25" Type="http://schemas.openxmlformats.org/officeDocument/2006/relationships/hyperlink" Target="https://www.boe.es/boe/dias/1988/10/05/pdfs/A28911-28916.pdf" TargetMode="External"/><Relationship Id="rId46" Type="http://schemas.openxmlformats.org/officeDocument/2006/relationships/hyperlink" Target="https://praza.gal/economia/asi-se-fragmenta-un-parque-eolico-para-facilitar-a-sua-autorizacion-ambiental-as-denuncias-espallanse-por-galicia" TargetMode="External"/><Relationship Id="rId67" Type="http://schemas.openxmlformats.org/officeDocument/2006/relationships/hyperlink" Target="https://www.boe.es/boe/dias/2021/01/11/pdfs/BOE-A-2021-421.pdf" TargetMode="External"/><Relationship Id="rId116" Type="http://schemas.openxmlformats.org/officeDocument/2006/relationships/hyperlink" Target="https://es.wikipedia.org/wiki/Catastro_de_Ensenada" TargetMode="External"/><Relationship Id="rId137" Type="http://schemas.openxmlformats.org/officeDocument/2006/relationships/footer" Target="footer2.xml"/><Relationship Id="rId20" Type="http://schemas.openxmlformats.org/officeDocument/2006/relationships/hyperlink" Target="https://www.ree.es/es/clientes/datos-acumulados-generacion-renovable" TargetMode="External"/><Relationship Id="rId41" Type="http://schemas.openxmlformats.org/officeDocument/2006/relationships/hyperlink" Target="https://www.farodevigo.es/comarcas/2013/06/13/firma-porrinesa-promueve-nuevo-parque-17431305.html" TargetMode="External"/><Relationship Id="rId62" Type="http://schemas.openxmlformats.org/officeDocument/2006/relationships/hyperlink" Target="https://www.boe.es/buscar/pdf/2012/BOE-A-2012-11414-consolidado.pdf" TargetMode="External"/><Relationship Id="rId83" Type="http://schemas.openxmlformats.org/officeDocument/2006/relationships/image" Target="media/image12.png"/><Relationship Id="rId88" Type="http://schemas.openxmlformats.org/officeDocument/2006/relationships/image" Target="media/image16.jpeg"/><Relationship Id="rId111" Type="http://schemas.openxmlformats.org/officeDocument/2006/relationships/image" Target="media/image29.jpeg"/><Relationship Id="rId132" Type="http://schemas.openxmlformats.org/officeDocument/2006/relationships/image" Target="media/image48.png"/><Relationship Id="rId15" Type="http://schemas.openxmlformats.org/officeDocument/2006/relationships/hyperlink" Target="https://www.boe.es/doue/2018/328/L00082-00209.pdf" TargetMode="External"/><Relationship Id="rId36" Type="http://schemas.openxmlformats.org/officeDocument/2006/relationships/hyperlink" Target="https://www.lavozdegalicia.es/noticia/sociedad/2015/05/11/europa-abre-expediente-espana-retrasos-red-natura-2000/0003_201505G11P26991.htm" TargetMode="External"/><Relationship Id="rId57" Type="http://schemas.openxmlformats.org/officeDocument/2006/relationships/hyperlink" Target="https://www.atlantico.net/articulo/vigo/parques-eolicos-alejan-area-vigo-habra-arbo-caniza/20230129014845965033.html" TargetMode="External"/><Relationship Id="rId106" Type="http://schemas.openxmlformats.org/officeDocument/2006/relationships/image" Target="media/image28.jpeg"/><Relationship Id="rId127" Type="http://schemas.openxmlformats.org/officeDocument/2006/relationships/image" Target="media/image43.png"/><Relationship Id="rId10" Type="http://schemas.openxmlformats.org/officeDocument/2006/relationships/image" Target="media/image3.png"/><Relationship Id="rId31" Type="http://schemas.openxmlformats.org/officeDocument/2006/relationships/hyperlink" Target="https://www.laopinioncoruna.es/galicia/2013/08/28/llamas-oia-devastan-2-000-24856878.html" TargetMode="External"/><Relationship Id="rId52" Type="http://schemas.openxmlformats.org/officeDocument/2006/relationships/hyperlink" Target="https://www.atlantico.net/articulo/val-minor/sos-groba-mantiene-presion-parque-eolico-anulado/20220923234603941279.html" TargetMode="External"/><Relationship Id="rId73" Type="http://schemas.openxmlformats.org/officeDocument/2006/relationships/hyperlink" Target="https://www.atlantico.net/articulo/area-metropolitana/registran-primera-vez-oia-presencia-sapo-espuelas/20120819080010190570.html" TargetMode="External"/><Relationship Id="rId78" Type="http://schemas.openxmlformats.org/officeDocument/2006/relationships/hyperlink" Target="https://proxectoequus.wordpress.com/" TargetMode="External"/><Relationship Id="rId94" Type="http://schemas.openxmlformats.org/officeDocument/2006/relationships/image" Target="media/image21.jpeg"/><Relationship Id="rId99" Type="http://schemas.openxmlformats.org/officeDocument/2006/relationships/hyperlink" Target="https://www.xunta.gal/dog/Publicados/2016/20160929/AnuncioG0164-210916-0002_gl.html" TargetMode="External"/><Relationship Id="rId101" Type="http://schemas.openxmlformats.org/officeDocument/2006/relationships/image" Target="media/image23.jpeg"/><Relationship Id="rId122"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www.xunta.gal/dog/Publicados/2003/20030103/AnuncioB56_gl.html" TargetMode="External"/><Relationship Id="rId47" Type="http://schemas.openxmlformats.org/officeDocument/2006/relationships/hyperlink" Target="https://www.farodevigo.es/comarcas/2021/05/16/mil-personas-claman-parques-eolicos-51882432.html" TargetMode="External"/><Relationship Id="rId68" Type="http://schemas.openxmlformats.org/officeDocument/2006/relationships/image" Target="media/image8.png"/><Relationship Id="rId89" Type="http://schemas.openxmlformats.org/officeDocument/2006/relationships/hyperlink" Target="https://galicianomeada.xunta.gal/sixtop/visor" TargetMode="External"/><Relationship Id="rId112" Type="http://schemas.openxmlformats.org/officeDocument/2006/relationships/image" Target="media/image30.jpeg"/><Relationship Id="rId133" Type="http://schemas.openxmlformats.org/officeDocument/2006/relationships/image" Target="media/image49.png"/></Relationships>
</file>

<file path=word/_rels/footnotes.xml.rels><?xml version="1.0" encoding="UTF-8" standalone="yes"?>
<Relationships xmlns="http://schemas.openxmlformats.org/package/2006/relationships"><Relationship Id="rId26" Type="http://schemas.openxmlformats.org/officeDocument/2006/relationships/hyperlink" Target="https://elpais.com/diario/2012/01/02/galicia/1325503092_850215.html" TargetMode="External"/><Relationship Id="rId21" Type="http://schemas.openxmlformats.org/officeDocument/2006/relationships/hyperlink" Target="https://ec.europa.yo/commission/presscorner/detail/eres/INF_20_1212" TargetMode="External"/><Relationship Id="rId42" Type="http://schemas.openxmlformats.org/officeDocument/2006/relationships/hyperlink" Target="https://www.elcorreogallego.es/galicia/freno-a-otro-parque-eolico-en-la-serra-da-groba-por-su-impacto-ambiental-critico-e-irreversible-NO12497695" TargetMode="External"/><Relationship Id="rId47" Type="http://schemas.openxmlformats.org/officeDocument/2006/relationships/hyperlink" Target="http://consellodacultura.gal/publicacion.php?id=4437" TargetMode="External"/><Relationship Id="rId63" Type="http://schemas.openxmlformats.org/officeDocument/2006/relationships/hyperlink" Target="https://galicianomeada.xunta.gal/sixtop/visor" TargetMode="External"/><Relationship Id="rId68" Type="http://schemas.openxmlformats.org/officeDocument/2006/relationships/hyperlink" Target="https://www.xunta.gal/dog/Publicados/2016/20160929/AnuncioG0164-210916-0002_gl.html" TargetMode="External"/><Relationship Id="rId7" Type="http://schemas.openxmlformats.org/officeDocument/2006/relationships/hyperlink" Target="https://www.miteco.gob.es/es/prensa/pniec.aspx" TargetMode="External"/><Relationship Id="rId71" Type="http://schemas.openxmlformats.org/officeDocument/2006/relationships/hyperlink" Target="https://www.cultura.gal/gl/pedra-seco-patrimonio-inmaterial" TargetMode="External"/><Relationship Id="rId2" Type="http://schemas.openxmlformats.org/officeDocument/2006/relationships/hyperlink" Target="https://www.xataka.com/basics/fin-soporte-flash-player-que-significa-que-pasa-a-partir-ahora" TargetMode="External"/><Relationship Id="rId16" Type="http://schemas.openxmlformats.org/officeDocument/2006/relationships/hyperlink" Target="http://consellodacultura.gal/publicacion.php?id=4437" TargetMode="External"/><Relationship Id="rId29" Type="http://schemas.openxmlformats.org/officeDocument/2006/relationships/hyperlink" Target="https://valminortv.com/2020/11/07/ecoloxistas-en-accion-llama-a-proteger-la-riqueza-de-la-serra-da-groba-y-o-galineiro/" TargetMode="External"/><Relationship Id="rId11" Type="http://schemas.openxmlformats.org/officeDocument/2006/relationships/hyperlink" Target="https://eur-lex.europa.eu/legal-content/ES/TXT/PDF/?uri=CELEX:31985L0337&amp;from=ES" TargetMode="External"/><Relationship Id="rId24" Type="http://schemas.openxmlformats.org/officeDocument/2006/relationships/hyperlink" Target="https://www.lavozdegalicia.es/noticia/vigo/2007/10/07/plataforma-sos-groba-organiza-hoy-ruta-reivindicativa-sierra-baionesa/0003_6206572.htm" TargetMode="External"/><Relationship Id="rId32" Type="http://schemas.openxmlformats.org/officeDocument/2006/relationships/hyperlink" Target="https://www.farodevigo.es/comarcas/2021/01/29/lucha-parques-eolicos-groba-o-32068057.html" TargetMode="External"/><Relationship Id="rId37" Type="http://schemas.openxmlformats.org/officeDocument/2006/relationships/hyperlink" Target="https://cadenaser.com/emisora/2021/11/08/radio_vigo/1636377863_284785.html" TargetMode="External"/><Relationship Id="rId40" Type="http://schemas.openxmlformats.org/officeDocument/2006/relationships/hyperlink" Target="https://www.lavozdegalicia.es/noticia/vigo/2022/09/23/xunta-rechaza-parque-eolico-groba-impacto-ambiental/0003_202209V23C5998.htm" TargetMode="External"/><Relationship Id="rId45" Type="http://schemas.openxmlformats.org/officeDocument/2006/relationships/hyperlink" Target="https://iem.gal/seccions-iem/seccion-arqueoloxia/destruindo-o-patrimonio-as-agresions-o-patrimonio-cos-parque-eolicos-na-groba/" TargetMode="External"/><Relationship Id="rId53" Type="http://schemas.openxmlformats.org/officeDocument/2006/relationships/hyperlink" Target="https://herpetologica.es/a-riqueza-da-serra-da-groba-esta-rente-ao-chan-2-parte-o-descubrimento-do-escancer-iberico-e-os-reptiles/" TargetMode="External"/><Relationship Id="rId58" Type="http://schemas.openxmlformats.org/officeDocument/2006/relationships/hyperlink" Target="https://cmatv.xunta.gal/c/document_library/get_file?file_path=/portal-web/Documentos_DXConservacion_da_Natureza/Espazos_protexidos/Rede%20Natura%202000/Anexo_2.pdf" TargetMode="External"/><Relationship Id="rId66" Type="http://schemas.openxmlformats.org/officeDocument/2006/relationships/hyperlink" Target="https://galicianomeada.xunta.gal/sixtop/visor" TargetMode="External"/><Relationship Id="rId5" Type="http://schemas.openxmlformats.org/officeDocument/2006/relationships/hyperlink" Target="https://www.boe.es/doue/2018/328/L00082-00209.pdf" TargetMode="External"/><Relationship Id="rId61" Type="http://schemas.openxmlformats.org/officeDocument/2006/relationships/hyperlink" Target="https://www.diario.eco/insuficiente-proteccion-de-la-red-natura-2000/" TargetMode="External"/><Relationship Id="rId19" Type="http://schemas.openxmlformats.org/officeDocument/2006/relationships/hyperlink" Target="https://www.mitma.gob.es/recursos_mfom/pdf/B1EC4D87-7D64-465E-89AE-18C176AAFA38/73086/12002E_ES.pdf" TargetMode="External"/><Relationship Id="rId14" Type="http://schemas.openxmlformats.org/officeDocument/2006/relationships/hyperlink" Target="https://www.xunta.gal/dog/Publicados/2003/20030103/AnuncioB56_gl.html" TargetMode="External"/><Relationship Id="rId22" Type="http://schemas.openxmlformats.org/officeDocument/2006/relationships/hyperlink" Target="https://www.diario.eco/insuficiente-proteccion-diere%20la-red-natura-2000/" TargetMode="External"/><Relationship Id="rId27" Type="http://schemas.openxmlformats.org/officeDocument/2006/relationships/hyperlink" Target="https://www.farodevigo.es/comarcas/2012/03/24/cuarenta-colectivos-exigen-groba-o-17671127.html" TargetMode="External"/><Relationship Id="rId30" Type="http://schemas.openxmlformats.org/officeDocument/2006/relationships/hyperlink" Target="https://telemarinas.com/o-bng-de-oia-logra-o-acordo-do-pleno-para-rexeitar-o-megaproxecto-eolico-na-serra-do-galineiro-a-groba-e-o-merendon/" TargetMode="External"/><Relationship Id="rId35" Type="http://schemas.openxmlformats.org/officeDocument/2006/relationships/hyperlink" Target="https://www.farodevigo.es/comarcas/2021/05/17/eolicos-seran-morte-definitiva-da-51902472.html" TargetMode="External"/><Relationship Id="rId43" Type="http://schemas.openxmlformats.org/officeDocument/2006/relationships/hyperlink" Target="https://cadenaser.com/galicia/2023/01/16/ofensiva-de-alegaciones-contra-el-parque-eolico-torona-ser-baixo-mino/" TargetMode="External"/><Relationship Id="rId48" Type="http://schemas.openxmlformats.org/officeDocument/2006/relationships/hyperlink" Target="https://www.salvemosmonteferro.org" TargetMode="External"/><Relationship Id="rId56" Type="http://schemas.openxmlformats.org/officeDocument/2006/relationships/hyperlink" Target="https://www.atlantico.net/articulo/area-metropolitana/registran-primera-vez-oia-presencia-sapo-espuelas/20120819080010190570.html" TargetMode="External"/><Relationship Id="rId64" Type="http://schemas.openxmlformats.org/officeDocument/2006/relationships/hyperlink" Target="https://dspace.usc.es/xmlui/handle/10347/20858" TargetMode="External"/><Relationship Id="rId69" Type="http://schemas.openxmlformats.org/officeDocument/2006/relationships/hyperlink" Target="https://iem.gal/docs/REM/REM_12-13/03.pdf" TargetMode="External"/><Relationship Id="rId8" Type="http://schemas.openxmlformats.org/officeDocument/2006/relationships/hyperlink" Target="https://www.ree.es/es/clientes/datos-acumulados-generacion-renovable" TargetMode="External"/><Relationship Id="rId51" Type="http://schemas.openxmlformats.org/officeDocument/2006/relationships/hyperlink" Target="https://loboiberico.com/wp-content/uploads/2014/06/decreto_297_2008_plan_galicia.pdf" TargetMode="External"/><Relationship Id="rId72" Type="http://schemas.openxmlformats.org/officeDocument/2006/relationships/hyperlink" Target="https://es.wikipedia.org/wiki/Catastro_de_Ensenada" TargetMode="External"/><Relationship Id="rId3" Type="http://schemas.openxmlformats.org/officeDocument/2006/relationships/hyperlink" Target="https://www.kaspersky.es/blog/adobe-flash-40th-day-after/24747/" TargetMode="External"/><Relationship Id="rId12" Type="http://schemas.openxmlformats.org/officeDocument/2006/relationships/hyperlink" Target="https://www.boe.es/boe/dias/1986/06/30/pdfs/A23733-23735.pdf" TargetMode="External"/><Relationship Id="rId17" Type="http://schemas.openxmlformats.org/officeDocument/2006/relationships/hyperlink" Target="https://www.boe.es/buscar/pdf/2021/BOE-A-2021-8447-consolidado.pdf" TargetMode="External"/><Relationship Id="rId25" Type="http://schemas.openxmlformats.org/officeDocument/2006/relationships/hyperlink" Target="https://www.lavozdegalicia.es/noticia/vigo/2010/03/28/colectivos-val-minor-piden-incluir-sierra-groba-red-natura/0003_8384907.htm" TargetMode="External"/><Relationship Id="rId33" Type="http://schemas.openxmlformats.org/officeDocument/2006/relationships/hyperlink" Target="https://praza.gal/economia/asi-se-fragmenta-un-parque-eolico-para-facilitar-a-sua-autorizacion-ambiental-as-denuncias-espallanse-por-galicia" TargetMode="External"/><Relationship Id="rId38" Type="http://schemas.openxmlformats.org/officeDocument/2006/relationships/hyperlink" Target="https://telemarinas.com/el-concello-de-oia-alegara-contra-el-parque-eolico-del-merendon/" TargetMode="External"/><Relationship Id="rId46" Type="http://schemas.openxmlformats.org/officeDocument/2006/relationships/hyperlink" Target="https://iem.gal/" TargetMode="External"/><Relationship Id="rId59" Type="http://schemas.openxmlformats.org/officeDocument/2006/relationships/hyperlink" Target="https://www.lavozdegalicia.es/noticia/sociedad/2015/05/11/europa-abre-expediente-espana-retrasos-red-natura-2000/0003_201505G11P26991.htm" TargetMode="External"/><Relationship Id="rId67" Type="http://schemas.openxmlformats.org/officeDocument/2006/relationships/hyperlink" Target="https://ich.unesco.org/en/home" TargetMode="External"/><Relationship Id="rId20" Type="http://schemas.openxmlformats.org/officeDocument/2006/relationships/hyperlink" Target="https://www.boe.es/doue/2010/083/Z00047-00199.pdf" TargetMode="External"/><Relationship Id="rId41" Type="http://schemas.openxmlformats.org/officeDocument/2006/relationships/hyperlink" Target="https://praza.gal/economia/o-impacto-paisaxistico-critico-e-irreversible-tomba-o-segundo-parque-eolico-previsto-na-serra-da-groba" TargetMode="External"/><Relationship Id="rId54" Type="http://schemas.openxmlformats.org/officeDocument/2006/relationships/hyperlink" Target="https://biodiversidade.eu/especie/pelobates-cultripes/?lang=es" TargetMode="External"/><Relationship Id="rId62" Type="http://schemas.openxmlformats.org/officeDocument/2006/relationships/hyperlink" Target="https://www.lavozdegalicia.es/noticia/sociedad/2015/05/11/europa-abre-expediente-espana-retrasos-red-natura-2000/0003_201505G11P26991.htm" TargetMode="External"/><Relationship Id="rId70" Type="http://schemas.openxmlformats.org/officeDocument/2006/relationships/hyperlink" Target="https://www.xunta.gal/dog/Publicados/2021/20210201/AnuncioG0532-120121-0001_gl.html" TargetMode="External"/><Relationship Id="rId1" Type="http://schemas.openxmlformats.org/officeDocument/2006/relationships/hyperlink" Target="https://cincodias.elpais.com/cincodias/2022/01/10/lifestyle/1641792708_835348.html" TargetMode="External"/><Relationship Id="rId6" Type="http://schemas.openxmlformats.org/officeDocument/2006/relationships/hyperlink" Target="https://www.ree.es/es/datos/publicaciones/informe-anual-sistema" TargetMode="External"/><Relationship Id="rId15" Type="http://schemas.openxmlformats.org/officeDocument/2006/relationships/hyperlink" Target="https://www.boe.es/boe/dias/2001/05/09/pdfs/A16607-16616.pdf" TargetMode="External"/><Relationship Id="rId23" Type="http://schemas.openxmlformats.org/officeDocument/2006/relationships/hyperlink" Target="https://www.lavozdegalicia.es/noticia/sociedad/2015/05/11/europa-abre-expediente-espana-retrasos-red-natura-2000/0003_201505G11P26991.htm" TargetMode="External"/><Relationship Id="rId28" Type="http://schemas.openxmlformats.org/officeDocument/2006/relationships/hyperlink" Target="https://www.farodevigo.es/comarcas/2013/06/13/firma-porrinesa-promueve-nuevo-parque-17431305.html" TargetMode="External"/><Relationship Id="rId36" Type="http://schemas.openxmlformats.org/officeDocument/2006/relationships/hyperlink" Target="https://www.publico.es/sociedad/parques-eolicos-galicia-estrategia-energetica-feijoo-levanta-protesta-ciudadana-parques-eolicos.html" TargetMode="External"/><Relationship Id="rId49" Type="http://schemas.openxmlformats.org/officeDocument/2006/relationships/hyperlink" Target="https://www.boe.es/buscar/pdf/2012/BOE-A-2012-11414-consolidado.pdf" TargetMode="External"/><Relationship Id="rId57" Type="http://schemas.openxmlformats.org/officeDocument/2006/relationships/hyperlink" Target="https://oficinadelperegrino.com/" TargetMode="External"/><Relationship Id="rId10" Type="http://schemas.openxmlformats.org/officeDocument/2006/relationships/hyperlink" Target="https://www.xunta.gal/dog/Publicados/1997/19971215/AnuncioF8FA_gl.html" TargetMode="External"/><Relationship Id="rId31" Type="http://schemas.openxmlformats.org/officeDocument/2006/relationships/hyperlink" Target="https://telemarinas.com/o-rosal-rechaza-el-proyecto-del-parque-eolico-en-a-serra-da-groba/" TargetMode="External"/><Relationship Id="rId44" Type="http://schemas.openxmlformats.org/officeDocument/2006/relationships/hyperlink" Target="https://www.atlantico.net/articulo/vigo/parques-eolicos-alejan-area-vigo-habra-arbo-caniza/20230129014845965033.html" TargetMode="External"/><Relationship Id="rId52" Type="http://schemas.openxmlformats.org/officeDocument/2006/relationships/hyperlink" Target="http://ashega.blogspot.com/2013/05/volta-da-cuvia.html" TargetMode="External"/><Relationship Id="rId60" Type="http://schemas.openxmlformats.org/officeDocument/2006/relationships/hyperlink" Target="https://ec.europa.eu/commission/presscorner/detail/es/INF_20_1212" TargetMode="External"/><Relationship Id="rId65" Type="http://schemas.openxmlformats.org/officeDocument/2006/relationships/hyperlink" Target="https://galicianomeada.xunta.gal/sixtop/visor" TargetMode="External"/><Relationship Id="rId4" Type="http://schemas.openxmlformats.org/officeDocument/2006/relationships/hyperlink" Target="https://www.boe.es/doue/2009/140/L00016-00062.pdf" TargetMode="External"/><Relationship Id="rId9" Type="http://schemas.openxmlformats.org/officeDocument/2006/relationships/hyperlink" Target="https://www.arcgis.com/apps/webappviewer/index.html?id=4bae3fad95b6439bacef9d1a316765e9" TargetMode="External"/><Relationship Id="rId13" Type="http://schemas.openxmlformats.org/officeDocument/2006/relationships/hyperlink" Target="https://www.boe.es/boe/dias/1988/10/05/pdfs/A28911-28916.pdf" TargetMode="External"/><Relationship Id="rId18" Type="http://schemas.openxmlformats.org/officeDocument/2006/relationships/hyperlink" Target="https://www.laopinioncoruna.es/galicia/2013/08/28/llamas-oia-devastan-2-000-24856878.html" TargetMode="External"/><Relationship Id="rId39" Type="http://schemas.openxmlformats.org/officeDocument/2006/relationships/hyperlink" Target="https://www.atlantico.net/articulo/val-minor/sos-groba-mantiene-presion-parque-eolico-anulado/20220923234603941279.html" TargetMode="External"/><Relationship Id="rId34" Type="http://schemas.openxmlformats.org/officeDocument/2006/relationships/hyperlink" Target="https://www.farodevigo.es/comarcas/2021/05/16/mil-personas-claman-parques-eolicos-51882432.html" TargetMode="External"/><Relationship Id="rId50" Type="http://schemas.openxmlformats.org/officeDocument/2006/relationships/hyperlink" Target="https://www.boe.es/buscar/pdf/2003/BOE-A-2003-21339-consolidado.pdf" TargetMode="External"/><Relationship Id="rId55" Type="http://schemas.openxmlformats.org/officeDocument/2006/relationships/hyperlink" Target="https://biodiversidade.eu/especie/pelobates-cultripes/?lang=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616484-F112-4CCE-8491-70DAA6C919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121</Pages>
  <Words>41605</Words>
  <Characters>228831</Characters>
  <Application>Microsoft Office Word</Application>
  <DocSecurity>0</DocSecurity>
  <Lines>1906</Lines>
  <Paragraphs>539</Paragraphs>
  <ScaleCrop>false</ScaleCrop>
  <HeadingPairs>
    <vt:vector size="2" baseType="variant">
      <vt:variant>
        <vt:lpstr>Título</vt:lpstr>
      </vt:variant>
      <vt:variant>
        <vt:i4>1</vt:i4>
      </vt:variant>
    </vt:vector>
  </HeadingPairs>
  <TitlesOfParts>
    <vt:vector size="1" baseType="lpstr">
      <vt:lpstr>Á DX de Planificación Enerxética e Recursos Naturais</vt:lpstr>
    </vt:vector>
  </TitlesOfParts>
  <Company/>
  <LinksUpToDate>false</LinksUpToDate>
  <CharactersWithSpaces>269897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Á DX de Planificación Enerxética e Recursos Naturais</dc:title>
  <dc:creator>Anxo</dc:creator>
  <cp:lastModifiedBy>Administracion - Concello de Gondomar</cp:lastModifiedBy>
  <cp:revision>3</cp:revision>
  <cp:lastPrinted>2023-04-16T19:53:00Z</cp:lastPrinted>
  <dcterms:created xsi:type="dcterms:W3CDTF">2023-04-16T19:54:00Z</dcterms:created>
  <dcterms:modified xsi:type="dcterms:W3CDTF">2023-04-17T11:34:00Z</dcterms:modified>
</cp:coreProperties>
</file>